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A47548" w14:paraId="7AAFBBD9" w14:textId="77777777" w:rsidTr="00B852D7">
        <w:trPr>
          <w:tblCellSpacing w:w="0" w:type="dxa"/>
        </w:trPr>
        <w:tc>
          <w:tcPr>
            <w:tcW w:w="0" w:type="auto"/>
            <w:vAlign w:val="center"/>
          </w:tcPr>
          <w:p w14:paraId="2E022473" w14:textId="77777777" w:rsidR="00A47548" w:rsidRDefault="00A47548" w:rsidP="00B852D7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7277D416" wp14:editId="7A103BF6">
                  <wp:extent cx="1333500" cy="1047749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33D2B0B" w14:textId="77777777" w:rsidR="00A47548" w:rsidRDefault="00A47548" w:rsidP="00B852D7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7CA9019C" w14:textId="77777777" w:rsidR="00A47548" w:rsidRDefault="00A47548" w:rsidP="00B852D7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42C66F8A" w14:textId="77777777" w:rsidR="00A47548" w:rsidRDefault="00A47548" w:rsidP="00A47548">
      <w:r>
        <w:t> </w:t>
      </w:r>
    </w:p>
    <w:p w14:paraId="51B1D6C6" w14:textId="77777777" w:rsidR="00A47548" w:rsidRPr="00A71965" w:rsidRDefault="00A47548" w:rsidP="00A47548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>
        <w:rPr>
          <w:b/>
          <w:sz w:val="26"/>
        </w:rPr>
        <w:t>DISPENSA DE LICITAÇÃO</w:t>
      </w:r>
    </w:p>
    <w:p w14:paraId="2E895B5F" w14:textId="77777777" w:rsidR="00A47548" w:rsidRDefault="00A47548" w:rsidP="00A47548">
      <w:pPr>
        <w:pBdr>
          <w:top w:val="single" w:sz="4" w:space="0" w:color="auto"/>
        </w:pBdr>
      </w:pPr>
    </w:p>
    <w:p w14:paraId="66832580" w14:textId="1B1979FC" w:rsidR="00A47548" w:rsidRPr="00A71965" w:rsidRDefault="00A47548" w:rsidP="00A47548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000</w:t>
      </w:r>
      <w:r>
        <w:rPr>
          <w:sz w:val="24"/>
          <w:szCs w:val="24"/>
        </w:rPr>
        <w:t>42</w:t>
      </w:r>
      <w:r w:rsidRPr="00A71965">
        <w:rPr>
          <w:sz w:val="24"/>
          <w:szCs w:val="24"/>
        </w:rPr>
        <w:t>/2024</w:t>
      </w:r>
    </w:p>
    <w:p w14:paraId="50427F1C" w14:textId="77777777" w:rsidR="00A47548" w:rsidRPr="00A71965" w:rsidRDefault="00A47548" w:rsidP="00A47548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2132652" w14:textId="20BC607E" w:rsidR="00A47548" w:rsidRDefault="00A47548" w:rsidP="00A47548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780"/>
        <w:gridCol w:w="1657"/>
        <w:gridCol w:w="1082"/>
        <w:gridCol w:w="1217"/>
        <w:gridCol w:w="1475"/>
        <w:gridCol w:w="1137"/>
        <w:gridCol w:w="1265"/>
      </w:tblGrid>
      <w:tr w:rsidR="00A47548" w:rsidRPr="00A47548" w14:paraId="49D01855" w14:textId="77777777" w:rsidTr="00910DA5">
        <w:trPr>
          <w:trHeight w:val="588"/>
        </w:trPr>
        <w:tc>
          <w:tcPr>
            <w:tcW w:w="780" w:type="dxa"/>
            <w:noWrap/>
            <w:hideMark/>
          </w:tcPr>
          <w:p w14:paraId="49C7B92A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  <w:rPr>
                <w:b/>
                <w:bCs/>
              </w:rPr>
            </w:pPr>
            <w:r w:rsidRPr="00A47548">
              <w:rPr>
                <w:b/>
                <w:bCs/>
              </w:rPr>
              <w:t>ITEM</w:t>
            </w:r>
          </w:p>
        </w:tc>
        <w:tc>
          <w:tcPr>
            <w:tcW w:w="1657" w:type="dxa"/>
            <w:noWrap/>
            <w:hideMark/>
          </w:tcPr>
          <w:p w14:paraId="0E17541B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DESCRIÇÃO</w:t>
            </w:r>
          </w:p>
        </w:tc>
        <w:tc>
          <w:tcPr>
            <w:tcW w:w="1082" w:type="dxa"/>
            <w:noWrap/>
            <w:hideMark/>
          </w:tcPr>
          <w:p w14:paraId="30024D1A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UNIDADE</w:t>
            </w:r>
          </w:p>
        </w:tc>
        <w:tc>
          <w:tcPr>
            <w:tcW w:w="1217" w:type="dxa"/>
            <w:noWrap/>
            <w:hideMark/>
          </w:tcPr>
          <w:p w14:paraId="6354A83F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TAMANHO</w:t>
            </w:r>
          </w:p>
        </w:tc>
        <w:tc>
          <w:tcPr>
            <w:tcW w:w="1475" w:type="dxa"/>
            <w:noWrap/>
            <w:hideMark/>
          </w:tcPr>
          <w:p w14:paraId="41C775DE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QUANTIDADE</w:t>
            </w:r>
          </w:p>
        </w:tc>
        <w:tc>
          <w:tcPr>
            <w:tcW w:w="1137" w:type="dxa"/>
            <w:hideMark/>
          </w:tcPr>
          <w:p w14:paraId="1C019E97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VALOR</w:t>
            </w:r>
            <w:r w:rsidRPr="00A47548">
              <w:rPr>
                <w:b/>
                <w:bCs/>
              </w:rPr>
              <w:br/>
              <w:t>UNITÁRIO</w:t>
            </w:r>
          </w:p>
        </w:tc>
        <w:tc>
          <w:tcPr>
            <w:tcW w:w="1265" w:type="dxa"/>
            <w:hideMark/>
          </w:tcPr>
          <w:p w14:paraId="052DD1A3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VALOR</w:t>
            </w:r>
            <w:r w:rsidRPr="00A47548">
              <w:rPr>
                <w:b/>
                <w:bCs/>
              </w:rPr>
              <w:br/>
              <w:t xml:space="preserve"> TOTAL</w:t>
            </w:r>
          </w:p>
        </w:tc>
      </w:tr>
      <w:tr w:rsidR="00A47548" w:rsidRPr="00A47548" w14:paraId="1A813009" w14:textId="77777777" w:rsidTr="00910DA5">
        <w:trPr>
          <w:trHeight w:val="300"/>
        </w:trPr>
        <w:tc>
          <w:tcPr>
            <w:tcW w:w="780" w:type="dxa"/>
            <w:vMerge w:val="restart"/>
            <w:noWrap/>
            <w:hideMark/>
          </w:tcPr>
          <w:p w14:paraId="4F423E9C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1</w:t>
            </w:r>
          </w:p>
        </w:tc>
        <w:tc>
          <w:tcPr>
            <w:tcW w:w="1657" w:type="dxa"/>
            <w:vMerge w:val="restart"/>
            <w:hideMark/>
          </w:tcPr>
          <w:p w14:paraId="3B68B652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Jaqueta Microfibra unissex, de alta qualidade, confeccionada com tecido microfibra que garante conforto e durabilidade, com forro interno, e o zíper frontal, bolsos laterais. A microfibra é um material leve e resistente, e impermeável. Conhecida por sua resistência à água e vento, e é fácil de limpar e manter. É uma ótima escolha para dias frios e para se sentir confortável. Composição: corpo, forro, sem capuz, 100% poliamida. Na cor cinza chumbo. Com bordado preta no lado esquerdo do peito escrito SMSAS- Tucunduva – RS</w:t>
            </w:r>
          </w:p>
        </w:tc>
        <w:tc>
          <w:tcPr>
            <w:tcW w:w="1082" w:type="dxa"/>
            <w:vMerge w:val="restart"/>
            <w:noWrap/>
            <w:hideMark/>
          </w:tcPr>
          <w:p w14:paraId="3B2744DA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UN</w:t>
            </w:r>
          </w:p>
        </w:tc>
        <w:tc>
          <w:tcPr>
            <w:tcW w:w="1217" w:type="dxa"/>
            <w:noWrap/>
            <w:hideMark/>
          </w:tcPr>
          <w:p w14:paraId="6C892999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P</w:t>
            </w:r>
          </w:p>
        </w:tc>
        <w:tc>
          <w:tcPr>
            <w:tcW w:w="1475" w:type="dxa"/>
            <w:noWrap/>
            <w:hideMark/>
          </w:tcPr>
          <w:p w14:paraId="650DBA95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1</w:t>
            </w:r>
          </w:p>
        </w:tc>
        <w:tc>
          <w:tcPr>
            <w:tcW w:w="1137" w:type="dxa"/>
            <w:noWrap/>
            <w:hideMark/>
          </w:tcPr>
          <w:p w14:paraId="5ABBC476" w14:textId="6E79DD1F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</w:t>
            </w:r>
          </w:p>
        </w:tc>
        <w:tc>
          <w:tcPr>
            <w:tcW w:w="1265" w:type="dxa"/>
            <w:noWrap/>
            <w:hideMark/>
          </w:tcPr>
          <w:p w14:paraId="706CD701" w14:textId="05FB05C3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910DA5" w:rsidRPr="00A47548" w14:paraId="0935F8DA" w14:textId="77777777" w:rsidTr="00910DA5">
        <w:trPr>
          <w:trHeight w:val="300"/>
        </w:trPr>
        <w:tc>
          <w:tcPr>
            <w:tcW w:w="780" w:type="dxa"/>
            <w:vMerge/>
            <w:hideMark/>
          </w:tcPr>
          <w:p w14:paraId="691C87AF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068E2A2E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16F4E5E1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4C23A0EF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>M</w:t>
            </w:r>
          </w:p>
        </w:tc>
        <w:tc>
          <w:tcPr>
            <w:tcW w:w="1475" w:type="dxa"/>
            <w:noWrap/>
            <w:hideMark/>
          </w:tcPr>
          <w:p w14:paraId="0DE1D382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21</w:t>
            </w:r>
          </w:p>
        </w:tc>
        <w:tc>
          <w:tcPr>
            <w:tcW w:w="1137" w:type="dxa"/>
            <w:noWrap/>
            <w:hideMark/>
          </w:tcPr>
          <w:p w14:paraId="2B7BDE2C" w14:textId="5424E060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</w:t>
            </w:r>
          </w:p>
        </w:tc>
        <w:tc>
          <w:tcPr>
            <w:tcW w:w="1265" w:type="dxa"/>
            <w:noWrap/>
            <w:hideMark/>
          </w:tcPr>
          <w:p w14:paraId="4A06FD73" w14:textId="77835FB1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</w:t>
            </w:r>
          </w:p>
        </w:tc>
      </w:tr>
      <w:tr w:rsidR="00910DA5" w:rsidRPr="00A47548" w14:paraId="21707782" w14:textId="77777777" w:rsidTr="00910DA5">
        <w:trPr>
          <w:trHeight w:val="300"/>
        </w:trPr>
        <w:tc>
          <w:tcPr>
            <w:tcW w:w="780" w:type="dxa"/>
            <w:vMerge/>
            <w:hideMark/>
          </w:tcPr>
          <w:p w14:paraId="76986F06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50E84359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796C8512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5339F847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>G</w:t>
            </w:r>
          </w:p>
        </w:tc>
        <w:tc>
          <w:tcPr>
            <w:tcW w:w="1475" w:type="dxa"/>
            <w:noWrap/>
            <w:hideMark/>
          </w:tcPr>
          <w:p w14:paraId="71F695A1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35</w:t>
            </w:r>
          </w:p>
        </w:tc>
        <w:tc>
          <w:tcPr>
            <w:tcW w:w="1137" w:type="dxa"/>
            <w:noWrap/>
            <w:hideMark/>
          </w:tcPr>
          <w:p w14:paraId="1BD73987" w14:textId="25C0B54B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</w:t>
            </w:r>
          </w:p>
        </w:tc>
        <w:tc>
          <w:tcPr>
            <w:tcW w:w="1265" w:type="dxa"/>
            <w:noWrap/>
            <w:hideMark/>
          </w:tcPr>
          <w:p w14:paraId="2AC6A338" w14:textId="6CF7BFBB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</w:t>
            </w:r>
          </w:p>
        </w:tc>
      </w:tr>
      <w:tr w:rsidR="00910DA5" w:rsidRPr="00A47548" w14:paraId="3A3AF2B7" w14:textId="77777777" w:rsidTr="00910DA5">
        <w:trPr>
          <w:trHeight w:val="7590"/>
        </w:trPr>
        <w:tc>
          <w:tcPr>
            <w:tcW w:w="780" w:type="dxa"/>
            <w:vMerge/>
            <w:hideMark/>
          </w:tcPr>
          <w:p w14:paraId="72A579BC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513C1463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08E6F3CF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1F23F783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>GG</w:t>
            </w:r>
          </w:p>
        </w:tc>
        <w:tc>
          <w:tcPr>
            <w:tcW w:w="1475" w:type="dxa"/>
            <w:noWrap/>
            <w:hideMark/>
          </w:tcPr>
          <w:p w14:paraId="41DB0F9E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15</w:t>
            </w:r>
          </w:p>
        </w:tc>
        <w:tc>
          <w:tcPr>
            <w:tcW w:w="1137" w:type="dxa"/>
            <w:noWrap/>
            <w:hideMark/>
          </w:tcPr>
          <w:p w14:paraId="0BF2EEA1" w14:textId="7D5538F3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</w:t>
            </w:r>
          </w:p>
        </w:tc>
        <w:tc>
          <w:tcPr>
            <w:tcW w:w="1265" w:type="dxa"/>
            <w:noWrap/>
            <w:hideMark/>
          </w:tcPr>
          <w:p w14:paraId="01B93BE2" w14:textId="0A18B214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</w:t>
            </w:r>
          </w:p>
        </w:tc>
      </w:tr>
      <w:tr w:rsidR="00A47548" w:rsidRPr="00A47548" w14:paraId="4846BCD7" w14:textId="77777777" w:rsidTr="00910DA5">
        <w:trPr>
          <w:trHeight w:val="450"/>
        </w:trPr>
        <w:tc>
          <w:tcPr>
            <w:tcW w:w="780" w:type="dxa"/>
            <w:noWrap/>
            <w:hideMark/>
          </w:tcPr>
          <w:p w14:paraId="027E375F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> </w:t>
            </w:r>
          </w:p>
        </w:tc>
        <w:tc>
          <w:tcPr>
            <w:tcW w:w="1657" w:type="dxa"/>
            <w:hideMark/>
          </w:tcPr>
          <w:p w14:paraId="3F1ED64F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1082" w:type="dxa"/>
            <w:noWrap/>
            <w:hideMark/>
          </w:tcPr>
          <w:p w14:paraId="1D106148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3829" w:type="dxa"/>
            <w:gridSpan w:val="3"/>
            <w:noWrap/>
            <w:hideMark/>
          </w:tcPr>
          <w:p w14:paraId="1870C3B3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TOTAL</w:t>
            </w:r>
          </w:p>
        </w:tc>
        <w:tc>
          <w:tcPr>
            <w:tcW w:w="1265" w:type="dxa"/>
            <w:noWrap/>
            <w:hideMark/>
          </w:tcPr>
          <w:p w14:paraId="39107AE0" w14:textId="4976C999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 xml:space="preserve">                              </w:t>
            </w:r>
          </w:p>
        </w:tc>
      </w:tr>
      <w:tr w:rsidR="00A47548" w:rsidRPr="00A47548" w14:paraId="66B9A69A" w14:textId="77777777" w:rsidTr="00910DA5">
        <w:trPr>
          <w:trHeight w:val="300"/>
        </w:trPr>
        <w:tc>
          <w:tcPr>
            <w:tcW w:w="8613" w:type="dxa"/>
            <w:gridSpan w:val="7"/>
            <w:noWrap/>
            <w:hideMark/>
          </w:tcPr>
          <w:p w14:paraId="5CC7594C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> </w:t>
            </w:r>
          </w:p>
        </w:tc>
      </w:tr>
      <w:tr w:rsidR="00A47548" w:rsidRPr="00A47548" w14:paraId="0BFF2DF1" w14:textId="77777777" w:rsidTr="00910DA5">
        <w:trPr>
          <w:trHeight w:val="300"/>
        </w:trPr>
        <w:tc>
          <w:tcPr>
            <w:tcW w:w="780" w:type="dxa"/>
            <w:vMerge w:val="restart"/>
            <w:noWrap/>
            <w:hideMark/>
          </w:tcPr>
          <w:p w14:paraId="7B3954A8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2</w:t>
            </w:r>
          </w:p>
        </w:tc>
        <w:tc>
          <w:tcPr>
            <w:tcW w:w="1657" w:type="dxa"/>
            <w:vMerge w:val="restart"/>
            <w:hideMark/>
          </w:tcPr>
          <w:p w14:paraId="6171B4C1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br/>
              <w:t xml:space="preserve"> Camiseta manga curta, em malha </w:t>
            </w:r>
            <w:proofErr w:type="spellStart"/>
            <w:r w:rsidRPr="00A47548">
              <w:t>pv</w:t>
            </w:r>
            <w:proofErr w:type="spellEnd"/>
            <w:r w:rsidRPr="00A47548">
              <w:t xml:space="preserve"> - </w:t>
            </w:r>
            <w:proofErr w:type="spellStart"/>
            <w:r w:rsidRPr="00A47548">
              <w:t>poliester</w:t>
            </w:r>
            <w:proofErr w:type="spellEnd"/>
            <w:r w:rsidRPr="00A47548">
              <w:t xml:space="preserve"> com viscose, com gola costurada, sem </w:t>
            </w:r>
            <w:proofErr w:type="gramStart"/>
            <w:r w:rsidRPr="00A47548">
              <w:t>ribana,  na</w:t>
            </w:r>
            <w:proofErr w:type="gramEnd"/>
            <w:r w:rsidRPr="00A47548">
              <w:t xml:space="preserve"> cor cinza chumbo com bordado em preto no lado esquerdo do peito escrito  SMSAS- Tucunduva – RS</w:t>
            </w:r>
          </w:p>
        </w:tc>
        <w:tc>
          <w:tcPr>
            <w:tcW w:w="1082" w:type="dxa"/>
            <w:vMerge w:val="restart"/>
            <w:noWrap/>
            <w:hideMark/>
          </w:tcPr>
          <w:p w14:paraId="6230368A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UN</w:t>
            </w:r>
          </w:p>
        </w:tc>
        <w:tc>
          <w:tcPr>
            <w:tcW w:w="1217" w:type="dxa"/>
            <w:noWrap/>
            <w:hideMark/>
          </w:tcPr>
          <w:p w14:paraId="6EA93195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P</w:t>
            </w:r>
          </w:p>
        </w:tc>
        <w:tc>
          <w:tcPr>
            <w:tcW w:w="1475" w:type="dxa"/>
            <w:noWrap/>
            <w:hideMark/>
          </w:tcPr>
          <w:p w14:paraId="6BE01F15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5</w:t>
            </w:r>
          </w:p>
        </w:tc>
        <w:tc>
          <w:tcPr>
            <w:tcW w:w="1137" w:type="dxa"/>
            <w:noWrap/>
            <w:hideMark/>
          </w:tcPr>
          <w:p w14:paraId="10154F82" w14:textId="1E9419CE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1C97F0D7" w14:textId="6D20CE38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910DA5" w:rsidRPr="00A47548" w14:paraId="2B75C1AD" w14:textId="77777777" w:rsidTr="00910DA5">
        <w:trPr>
          <w:trHeight w:val="300"/>
        </w:trPr>
        <w:tc>
          <w:tcPr>
            <w:tcW w:w="780" w:type="dxa"/>
            <w:vMerge/>
            <w:hideMark/>
          </w:tcPr>
          <w:p w14:paraId="5792351D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1F0C8D14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3F8CEF30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1CC0E3C0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M</w:t>
            </w:r>
          </w:p>
        </w:tc>
        <w:tc>
          <w:tcPr>
            <w:tcW w:w="1475" w:type="dxa"/>
            <w:noWrap/>
            <w:hideMark/>
          </w:tcPr>
          <w:p w14:paraId="2EEDF206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33</w:t>
            </w:r>
          </w:p>
        </w:tc>
        <w:tc>
          <w:tcPr>
            <w:tcW w:w="1137" w:type="dxa"/>
            <w:noWrap/>
            <w:hideMark/>
          </w:tcPr>
          <w:p w14:paraId="796AAFA3" w14:textId="32AEB733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0CE0E9CB" w14:textId="497BAB82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</w:t>
            </w:r>
          </w:p>
        </w:tc>
      </w:tr>
      <w:tr w:rsidR="00910DA5" w:rsidRPr="00A47548" w14:paraId="0325BF26" w14:textId="77777777" w:rsidTr="00910DA5">
        <w:trPr>
          <w:trHeight w:val="300"/>
        </w:trPr>
        <w:tc>
          <w:tcPr>
            <w:tcW w:w="780" w:type="dxa"/>
            <w:vMerge/>
            <w:hideMark/>
          </w:tcPr>
          <w:p w14:paraId="5F93D4C6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4556A258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279EF1D2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17AFD5B1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G</w:t>
            </w:r>
          </w:p>
        </w:tc>
        <w:tc>
          <w:tcPr>
            <w:tcW w:w="1475" w:type="dxa"/>
            <w:noWrap/>
            <w:hideMark/>
          </w:tcPr>
          <w:p w14:paraId="4FA596F4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26</w:t>
            </w:r>
          </w:p>
        </w:tc>
        <w:tc>
          <w:tcPr>
            <w:tcW w:w="1137" w:type="dxa"/>
            <w:noWrap/>
            <w:hideMark/>
          </w:tcPr>
          <w:p w14:paraId="1E9CFC90" w14:textId="286F6B3A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0791E5B3" w14:textId="5571511B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910DA5" w:rsidRPr="00A47548" w14:paraId="2E16D036" w14:textId="77777777" w:rsidTr="00910DA5">
        <w:trPr>
          <w:trHeight w:val="2445"/>
        </w:trPr>
        <w:tc>
          <w:tcPr>
            <w:tcW w:w="780" w:type="dxa"/>
            <w:vMerge/>
            <w:hideMark/>
          </w:tcPr>
          <w:p w14:paraId="5A22D458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05390F03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7901A4CD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4F1C4DF3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GG</w:t>
            </w:r>
          </w:p>
        </w:tc>
        <w:tc>
          <w:tcPr>
            <w:tcW w:w="1475" w:type="dxa"/>
            <w:noWrap/>
            <w:hideMark/>
          </w:tcPr>
          <w:p w14:paraId="0BE73853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10</w:t>
            </w:r>
          </w:p>
        </w:tc>
        <w:tc>
          <w:tcPr>
            <w:tcW w:w="1137" w:type="dxa"/>
            <w:noWrap/>
            <w:hideMark/>
          </w:tcPr>
          <w:p w14:paraId="406881D9" w14:textId="77416C1F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044A366E" w14:textId="23DDD002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A47548" w:rsidRPr="00A47548" w14:paraId="7827DDE5" w14:textId="77777777" w:rsidTr="00910DA5">
        <w:trPr>
          <w:trHeight w:val="660"/>
        </w:trPr>
        <w:tc>
          <w:tcPr>
            <w:tcW w:w="780" w:type="dxa"/>
            <w:noWrap/>
            <w:hideMark/>
          </w:tcPr>
          <w:p w14:paraId="3C3E6E93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1657" w:type="dxa"/>
            <w:hideMark/>
          </w:tcPr>
          <w:p w14:paraId="4224D7C4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1082" w:type="dxa"/>
            <w:noWrap/>
            <w:hideMark/>
          </w:tcPr>
          <w:p w14:paraId="1A76564B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3829" w:type="dxa"/>
            <w:gridSpan w:val="3"/>
            <w:noWrap/>
            <w:hideMark/>
          </w:tcPr>
          <w:p w14:paraId="48D937CA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TOTAL</w:t>
            </w:r>
          </w:p>
        </w:tc>
        <w:tc>
          <w:tcPr>
            <w:tcW w:w="1265" w:type="dxa"/>
            <w:noWrap/>
            <w:hideMark/>
          </w:tcPr>
          <w:p w14:paraId="503E113B" w14:textId="0F81A230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 xml:space="preserve">                                </w:t>
            </w:r>
          </w:p>
        </w:tc>
      </w:tr>
      <w:tr w:rsidR="00A47548" w:rsidRPr="00A47548" w14:paraId="2915AE75" w14:textId="77777777" w:rsidTr="00910DA5">
        <w:trPr>
          <w:trHeight w:val="300"/>
        </w:trPr>
        <w:tc>
          <w:tcPr>
            <w:tcW w:w="8613" w:type="dxa"/>
            <w:gridSpan w:val="7"/>
            <w:noWrap/>
            <w:hideMark/>
          </w:tcPr>
          <w:p w14:paraId="2C7895C0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</w:tr>
      <w:tr w:rsidR="00A47548" w:rsidRPr="00A47548" w14:paraId="54E61050" w14:textId="77777777" w:rsidTr="00910DA5">
        <w:trPr>
          <w:trHeight w:val="300"/>
        </w:trPr>
        <w:tc>
          <w:tcPr>
            <w:tcW w:w="780" w:type="dxa"/>
            <w:vMerge w:val="restart"/>
            <w:noWrap/>
            <w:hideMark/>
          </w:tcPr>
          <w:p w14:paraId="3FD291D3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3</w:t>
            </w:r>
          </w:p>
        </w:tc>
        <w:tc>
          <w:tcPr>
            <w:tcW w:w="1657" w:type="dxa"/>
            <w:vMerge w:val="restart"/>
            <w:hideMark/>
          </w:tcPr>
          <w:p w14:paraId="0C3124E5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after="160"/>
            </w:pPr>
            <w:r w:rsidRPr="00A47548">
              <w:br/>
              <w:t>Jaleco branco, manga longa, modelo feminino e masculino, bolsos laterais (frente), bolso região do peito ao lado esquerdo com bordado, bordado em parte superior de manga esquerda, com gola, punho em ribana (branca) tecido em Oxford 100%poliester com toque mais seco, não amassa, não encolhe, não absorve água, seca rápido, apresentando bom acabamento, abotoamento escondido em tecido de boa qualidade.</w:t>
            </w:r>
          </w:p>
        </w:tc>
        <w:tc>
          <w:tcPr>
            <w:tcW w:w="1082" w:type="dxa"/>
            <w:vMerge w:val="restart"/>
            <w:noWrap/>
            <w:hideMark/>
          </w:tcPr>
          <w:p w14:paraId="5461257B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after="160"/>
            </w:pPr>
            <w:r w:rsidRPr="00A47548">
              <w:t>UN</w:t>
            </w:r>
          </w:p>
        </w:tc>
        <w:tc>
          <w:tcPr>
            <w:tcW w:w="1217" w:type="dxa"/>
            <w:noWrap/>
            <w:hideMark/>
          </w:tcPr>
          <w:p w14:paraId="2DE7B3AE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P</w:t>
            </w:r>
          </w:p>
        </w:tc>
        <w:tc>
          <w:tcPr>
            <w:tcW w:w="1475" w:type="dxa"/>
            <w:noWrap/>
            <w:hideMark/>
          </w:tcPr>
          <w:p w14:paraId="2CE4E571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2</w:t>
            </w:r>
          </w:p>
        </w:tc>
        <w:tc>
          <w:tcPr>
            <w:tcW w:w="1137" w:type="dxa"/>
            <w:noWrap/>
            <w:hideMark/>
          </w:tcPr>
          <w:p w14:paraId="6442E19C" w14:textId="7B37CD85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74D61B66" w14:textId="26D46F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910DA5" w:rsidRPr="00A47548" w14:paraId="18C23C5D" w14:textId="77777777" w:rsidTr="00910DA5">
        <w:trPr>
          <w:trHeight w:val="300"/>
        </w:trPr>
        <w:tc>
          <w:tcPr>
            <w:tcW w:w="780" w:type="dxa"/>
            <w:vMerge/>
            <w:hideMark/>
          </w:tcPr>
          <w:p w14:paraId="190CBB6F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187F5A28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68B27949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21E3CDAC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M</w:t>
            </w:r>
          </w:p>
        </w:tc>
        <w:tc>
          <w:tcPr>
            <w:tcW w:w="1475" w:type="dxa"/>
            <w:noWrap/>
            <w:hideMark/>
          </w:tcPr>
          <w:p w14:paraId="3B560565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4</w:t>
            </w:r>
          </w:p>
        </w:tc>
        <w:tc>
          <w:tcPr>
            <w:tcW w:w="1137" w:type="dxa"/>
            <w:noWrap/>
            <w:hideMark/>
          </w:tcPr>
          <w:p w14:paraId="6E19B939" w14:textId="3EC4DD5B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6BE3AF20" w14:textId="216CBD95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910DA5" w:rsidRPr="00A47548" w14:paraId="38EE8F7D" w14:textId="77777777" w:rsidTr="00910DA5">
        <w:trPr>
          <w:trHeight w:val="300"/>
        </w:trPr>
        <w:tc>
          <w:tcPr>
            <w:tcW w:w="780" w:type="dxa"/>
            <w:vMerge/>
            <w:hideMark/>
          </w:tcPr>
          <w:p w14:paraId="6E927840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041C1F7F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45F10282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49FA17FB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G</w:t>
            </w:r>
          </w:p>
        </w:tc>
        <w:tc>
          <w:tcPr>
            <w:tcW w:w="1475" w:type="dxa"/>
            <w:noWrap/>
            <w:hideMark/>
          </w:tcPr>
          <w:p w14:paraId="1A76E176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7</w:t>
            </w:r>
          </w:p>
        </w:tc>
        <w:tc>
          <w:tcPr>
            <w:tcW w:w="1137" w:type="dxa"/>
            <w:noWrap/>
            <w:hideMark/>
          </w:tcPr>
          <w:p w14:paraId="5DB42735" w14:textId="63B1C894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6351170F" w14:textId="3668D299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910DA5" w:rsidRPr="00A47548" w14:paraId="5D942F93" w14:textId="77777777" w:rsidTr="00910DA5">
        <w:trPr>
          <w:trHeight w:val="6315"/>
        </w:trPr>
        <w:tc>
          <w:tcPr>
            <w:tcW w:w="780" w:type="dxa"/>
            <w:vMerge/>
            <w:hideMark/>
          </w:tcPr>
          <w:p w14:paraId="33037D9C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27F6A34A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3BE30AA6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101C6810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GG</w:t>
            </w:r>
          </w:p>
        </w:tc>
        <w:tc>
          <w:tcPr>
            <w:tcW w:w="1475" w:type="dxa"/>
            <w:noWrap/>
            <w:hideMark/>
          </w:tcPr>
          <w:p w14:paraId="2CD0D48D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4</w:t>
            </w:r>
          </w:p>
        </w:tc>
        <w:tc>
          <w:tcPr>
            <w:tcW w:w="1137" w:type="dxa"/>
            <w:noWrap/>
            <w:hideMark/>
          </w:tcPr>
          <w:p w14:paraId="6276FB8A" w14:textId="6E640295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099CC091" w14:textId="0DC40784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  <w:r w:rsidRPr="00A47548">
              <w:t xml:space="preserve">                                    </w:t>
            </w:r>
          </w:p>
        </w:tc>
      </w:tr>
      <w:tr w:rsidR="00A47548" w:rsidRPr="00A47548" w14:paraId="65987CFD" w14:textId="77777777" w:rsidTr="00910DA5">
        <w:trPr>
          <w:trHeight w:val="630"/>
        </w:trPr>
        <w:tc>
          <w:tcPr>
            <w:tcW w:w="780" w:type="dxa"/>
            <w:noWrap/>
            <w:hideMark/>
          </w:tcPr>
          <w:p w14:paraId="18F1FD63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1657" w:type="dxa"/>
            <w:hideMark/>
          </w:tcPr>
          <w:p w14:paraId="1692706C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1082" w:type="dxa"/>
            <w:noWrap/>
            <w:hideMark/>
          </w:tcPr>
          <w:p w14:paraId="0AEF8E38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  <w:tc>
          <w:tcPr>
            <w:tcW w:w="3829" w:type="dxa"/>
            <w:gridSpan w:val="3"/>
            <w:noWrap/>
            <w:hideMark/>
          </w:tcPr>
          <w:p w14:paraId="232FA98D" w14:textId="77777777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>TOTAL</w:t>
            </w:r>
          </w:p>
        </w:tc>
        <w:tc>
          <w:tcPr>
            <w:tcW w:w="1265" w:type="dxa"/>
            <w:noWrap/>
            <w:hideMark/>
          </w:tcPr>
          <w:p w14:paraId="76884A54" w14:textId="34611052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 xml:space="preserve">                                </w:t>
            </w:r>
          </w:p>
        </w:tc>
      </w:tr>
      <w:tr w:rsidR="00A47548" w:rsidRPr="00A47548" w14:paraId="62A0C11C" w14:textId="77777777" w:rsidTr="00910DA5">
        <w:trPr>
          <w:trHeight w:val="300"/>
        </w:trPr>
        <w:tc>
          <w:tcPr>
            <w:tcW w:w="8613" w:type="dxa"/>
            <w:gridSpan w:val="7"/>
            <w:noWrap/>
            <w:hideMark/>
          </w:tcPr>
          <w:p w14:paraId="25FFD525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 </w:t>
            </w:r>
          </w:p>
        </w:tc>
      </w:tr>
      <w:tr w:rsidR="00A47548" w:rsidRPr="00A47548" w14:paraId="327247A8" w14:textId="77777777" w:rsidTr="00910DA5">
        <w:trPr>
          <w:trHeight w:val="300"/>
        </w:trPr>
        <w:tc>
          <w:tcPr>
            <w:tcW w:w="780" w:type="dxa"/>
            <w:vMerge w:val="restart"/>
            <w:noWrap/>
            <w:hideMark/>
          </w:tcPr>
          <w:p w14:paraId="4C1D32C0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4</w:t>
            </w:r>
          </w:p>
        </w:tc>
        <w:tc>
          <w:tcPr>
            <w:tcW w:w="1657" w:type="dxa"/>
            <w:vMerge w:val="restart"/>
            <w:hideMark/>
          </w:tcPr>
          <w:p w14:paraId="1730D8F4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Legging de Suplex Poliamida em alta qualidade. Na cor preta.</w:t>
            </w:r>
            <w:r w:rsidRPr="00A47548">
              <w:br/>
              <w:t>Produto resistente, com máximo conforto e praticidade. Característica do produto: Legging, cintura alta, cós duplo, gancho alto, modelagem exclusiva, não fica transparente.</w:t>
            </w:r>
            <w:r w:rsidRPr="00A47548">
              <w:br/>
              <w:t>Tecido: Alta compressão, não desbota, macio, confortável, flexível, tem um toque suave, elasticidade, com costura reforçada e fácil de vestir.</w:t>
            </w:r>
          </w:p>
        </w:tc>
        <w:tc>
          <w:tcPr>
            <w:tcW w:w="1082" w:type="dxa"/>
            <w:vMerge w:val="restart"/>
            <w:noWrap/>
            <w:hideMark/>
          </w:tcPr>
          <w:p w14:paraId="47FFBD04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UN</w:t>
            </w:r>
          </w:p>
        </w:tc>
        <w:tc>
          <w:tcPr>
            <w:tcW w:w="1217" w:type="dxa"/>
            <w:noWrap/>
            <w:hideMark/>
          </w:tcPr>
          <w:p w14:paraId="39031B05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M</w:t>
            </w:r>
          </w:p>
        </w:tc>
        <w:tc>
          <w:tcPr>
            <w:tcW w:w="1475" w:type="dxa"/>
            <w:noWrap/>
            <w:hideMark/>
          </w:tcPr>
          <w:p w14:paraId="47305D1E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7</w:t>
            </w:r>
          </w:p>
        </w:tc>
        <w:tc>
          <w:tcPr>
            <w:tcW w:w="1137" w:type="dxa"/>
            <w:noWrap/>
            <w:hideMark/>
          </w:tcPr>
          <w:p w14:paraId="25711A9F" w14:textId="0ABBEA91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7F170D9D" w14:textId="662268CE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                    </w:t>
            </w:r>
          </w:p>
        </w:tc>
      </w:tr>
      <w:tr w:rsidR="00910DA5" w:rsidRPr="00A47548" w14:paraId="4859DA9E" w14:textId="77777777" w:rsidTr="00910DA5">
        <w:trPr>
          <w:trHeight w:val="300"/>
        </w:trPr>
        <w:tc>
          <w:tcPr>
            <w:tcW w:w="780" w:type="dxa"/>
            <w:vMerge/>
            <w:hideMark/>
          </w:tcPr>
          <w:p w14:paraId="6533C92D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0EB9B8B0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05EEFCA7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3C5F356F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G</w:t>
            </w:r>
          </w:p>
        </w:tc>
        <w:tc>
          <w:tcPr>
            <w:tcW w:w="1475" w:type="dxa"/>
            <w:noWrap/>
            <w:hideMark/>
          </w:tcPr>
          <w:p w14:paraId="2B91C7F4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16</w:t>
            </w:r>
          </w:p>
        </w:tc>
        <w:tc>
          <w:tcPr>
            <w:tcW w:w="1137" w:type="dxa"/>
            <w:noWrap/>
            <w:hideMark/>
          </w:tcPr>
          <w:p w14:paraId="12B0B34F" w14:textId="511BA683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1FDBA51C" w14:textId="2CCFDD36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                 </w:t>
            </w:r>
          </w:p>
        </w:tc>
      </w:tr>
      <w:tr w:rsidR="00910DA5" w:rsidRPr="00A47548" w14:paraId="6EDED000" w14:textId="77777777" w:rsidTr="00910DA5">
        <w:trPr>
          <w:trHeight w:val="6360"/>
        </w:trPr>
        <w:tc>
          <w:tcPr>
            <w:tcW w:w="780" w:type="dxa"/>
            <w:vMerge/>
            <w:hideMark/>
          </w:tcPr>
          <w:p w14:paraId="3A24C91F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657" w:type="dxa"/>
            <w:vMerge/>
            <w:hideMark/>
          </w:tcPr>
          <w:p w14:paraId="30448F6B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vMerge/>
            <w:hideMark/>
          </w:tcPr>
          <w:p w14:paraId="513EB797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217" w:type="dxa"/>
            <w:noWrap/>
            <w:hideMark/>
          </w:tcPr>
          <w:p w14:paraId="6E15ECC7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GG</w:t>
            </w:r>
          </w:p>
        </w:tc>
        <w:tc>
          <w:tcPr>
            <w:tcW w:w="1475" w:type="dxa"/>
            <w:noWrap/>
            <w:hideMark/>
          </w:tcPr>
          <w:p w14:paraId="5A296EB9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>4</w:t>
            </w:r>
          </w:p>
        </w:tc>
        <w:tc>
          <w:tcPr>
            <w:tcW w:w="1137" w:type="dxa"/>
            <w:noWrap/>
            <w:hideMark/>
          </w:tcPr>
          <w:p w14:paraId="0289A6B9" w14:textId="3D66307E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</w:t>
            </w:r>
          </w:p>
        </w:tc>
        <w:tc>
          <w:tcPr>
            <w:tcW w:w="1265" w:type="dxa"/>
            <w:noWrap/>
            <w:hideMark/>
          </w:tcPr>
          <w:p w14:paraId="75CDAFD1" w14:textId="145F1D61" w:rsidR="00A47548" w:rsidRPr="00A47548" w:rsidRDefault="00A47548" w:rsidP="00A47548">
            <w:pPr>
              <w:pBdr>
                <w:top w:val="single" w:sz="4" w:space="0" w:color="auto"/>
              </w:pBdr>
            </w:pPr>
            <w:r w:rsidRPr="00A47548">
              <w:t xml:space="preserve">                                    </w:t>
            </w:r>
          </w:p>
        </w:tc>
      </w:tr>
      <w:tr w:rsidR="00A47548" w:rsidRPr="00A47548" w14:paraId="379AF0C3" w14:textId="77777777" w:rsidTr="00910DA5">
        <w:trPr>
          <w:trHeight w:val="525"/>
        </w:trPr>
        <w:tc>
          <w:tcPr>
            <w:tcW w:w="780" w:type="dxa"/>
            <w:noWrap/>
            <w:hideMark/>
          </w:tcPr>
          <w:p w14:paraId="74DE7021" w14:textId="77777777" w:rsidR="00A47548" w:rsidRPr="00A47548" w:rsidRDefault="00A47548" w:rsidP="00A47548">
            <w:pPr>
              <w:pBdr>
                <w:top w:val="single" w:sz="4" w:space="0" w:color="auto"/>
              </w:pBdr>
            </w:pPr>
          </w:p>
        </w:tc>
        <w:tc>
          <w:tcPr>
            <w:tcW w:w="1657" w:type="dxa"/>
            <w:noWrap/>
            <w:hideMark/>
          </w:tcPr>
          <w:p w14:paraId="1480A3FE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noWrap/>
            <w:hideMark/>
          </w:tcPr>
          <w:p w14:paraId="26200072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3829" w:type="dxa"/>
            <w:gridSpan w:val="3"/>
            <w:noWrap/>
            <w:hideMark/>
          </w:tcPr>
          <w:p w14:paraId="34BDDF98" w14:textId="1B533CC4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  <w:rPr>
                <w:b/>
                <w:bCs/>
              </w:rPr>
            </w:pPr>
            <w:r w:rsidRPr="00A47548">
              <w:rPr>
                <w:b/>
                <w:bCs/>
              </w:rPr>
              <w:t>TOTAL</w:t>
            </w:r>
            <w:r w:rsidRPr="00A47548">
              <w:rPr>
                <w:b/>
                <w:bCs/>
              </w:rPr>
              <w:t>:</w:t>
            </w:r>
          </w:p>
        </w:tc>
        <w:tc>
          <w:tcPr>
            <w:tcW w:w="1265" w:type="dxa"/>
            <w:noWrap/>
            <w:hideMark/>
          </w:tcPr>
          <w:p w14:paraId="73379D50" w14:textId="1FF6D048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  <w:r w:rsidRPr="00A47548">
              <w:rPr>
                <w:b/>
                <w:bCs/>
              </w:rPr>
              <w:t xml:space="preserve">                                </w:t>
            </w:r>
          </w:p>
        </w:tc>
      </w:tr>
      <w:tr w:rsidR="00A47548" w:rsidRPr="00A47548" w14:paraId="041E7890" w14:textId="77777777" w:rsidTr="00910DA5">
        <w:trPr>
          <w:trHeight w:val="540"/>
        </w:trPr>
        <w:tc>
          <w:tcPr>
            <w:tcW w:w="780" w:type="dxa"/>
            <w:noWrap/>
            <w:hideMark/>
          </w:tcPr>
          <w:p w14:paraId="4E13357E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1657" w:type="dxa"/>
            <w:noWrap/>
            <w:hideMark/>
          </w:tcPr>
          <w:p w14:paraId="51F7F5A5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1082" w:type="dxa"/>
            <w:noWrap/>
            <w:hideMark/>
          </w:tcPr>
          <w:p w14:paraId="309790BC" w14:textId="77777777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</w:pPr>
          </w:p>
        </w:tc>
        <w:tc>
          <w:tcPr>
            <w:tcW w:w="3829" w:type="dxa"/>
            <w:gridSpan w:val="3"/>
            <w:noWrap/>
            <w:hideMark/>
          </w:tcPr>
          <w:p w14:paraId="41985550" w14:textId="71DF3723" w:rsidR="00A47548" w:rsidRPr="00A47548" w:rsidRDefault="00A47548" w:rsidP="00A47548">
            <w:pPr>
              <w:pBdr>
                <w:top w:val="single" w:sz="4" w:space="0" w:color="auto"/>
              </w:pBdr>
              <w:spacing w:line="240" w:lineRule="auto"/>
              <w:rPr>
                <w:b/>
                <w:bCs/>
              </w:rPr>
            </w:pPr>
            <w:r w:rsidRPr="00A47548">
              <w:rPr>
                <w:b/>
                <w:bCs/>
              </w:rPr>
              <w:t>VALOR TOTAL</w:t>
            </w:r>
            <w:r w:rsidRPr="00A47548">
              <w:rPr>
                <w:b/>
                <w:bCs/>
              </w:rPr>
              <w:t>:</w:t>
            </w:r>
          </w:p>
        </w:tc>
        <w:tc>
          <w:tcPr>
            <w:tcW w:w="1265" w:type="dxa"/>
            <w:noWrap/>
            <w:hideMark/>
          </w:tcPr>
          <w:p w14:paraId="0C0DAFD0" w14:textId="5AA11CEB" w:rsidR="00A47548" w:rsidRPr="00A47548" w:rsidRDefault="00A47548" w:rsidP="00A47548">
            <w:pPr>
              <w:pBdr>
                <w:top w:val="single" w:sz="4" w:space="0" w:color="auto"/>
              </w:pBdr>
              <w:rPr>
                <w:b/>
                <w:bCs/>
              </w:rPr>
            </w:pPr>
          </w:p>
        </w:tc>
      </w:tr>
    </w:tbl>
    <w:p w14:paraId="75CE76E5" w14:textId="77777777" w:rsidR="00A47548" w:rsidRPr="00A47548" w:rsidRDefault="00A47548" w:rsidP="00A47548">
      <w:pPr>
        <w:pBdr>
          <w:top w:val="single" w:sz="4" w:space="0" w:color="auto"/>
        </w:pBdr>
        <w:spacing w:line="240" w:lineRule="auto"/>
      </w:pPr>
    </w:p>
    <w:p w14:paraId="739F1CD1" w14:textId="62884D61" w:rsidR="00A47548" w:rsidRPr="00BE21D4" w:rsidRDefault="00A47548" w:rsidP="00A47548">
      <w:pPr>
        <w:rPr>
          <w:b/>
          <w:bCs/>
          <w:sz w:val="24"/>
          <w:szCs w:val="24"/>
        </w:rPr>
      </w:pPr>
      <w:r w:rsidRPr="00BE21D4">
        <w:rPr>
          <w:b/>
          <w:bCs/>
          <w:sz w:val="24"/>
          <w:szCs w:val="24"/>
        </w:rPr>
        <w:t>Data:</w:t>
      </w:r>
    </w:p>
    <w:p w14:paraId="3A2170CB" w14:textId="77777777" w:rsidR="00A47548" w:rsidRPr="00A71965" w:rsidRDefault="00A47548" w:rsidP="00A47548">
      <w:pPr>
        <w:rPr>
          <w:sz w:val="24"/>
          <w:szCs w:val="24"/>
        </w:rPr>
      </w:pPr>
    </w:p>
    <w:p w14:paraId="2FF0E0C2" w14:textId="77777777" w:rsidR="00A47548" w:rsidRPr="00A71965" w:rsidRDefault="00A47548" w:rsidP="00A47548">
      <w:pPr>
        <w:rPr>
          <w:sz w:val="24"/>
          <w:szCs w:val="24"/>
        </w:rPr>
      </w:pPr>
    </w:p>
    <w:p w14:paraId="46EB311E" w14:textId="77777777" w:rsidR="00A47548" w:rsidRPr="00A71965" w:rsidRDefault="00A47548" w:rsidP="00A47548">
      <w:pPr>
        <w:rPr>
          <w:sz w:val="24"/>
          <w:szCs w:val="24"/>
        </w:rPr>
      </w:pPr>
    </w:p>
    <w:p w14:paraId="47C8200B" w14:textId="77777777" w:rsidR="00A47548" w:rsidRPr="00A71965" w:rsidRDefault="00A47548" w:rsidP="00A47548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63821F29" w14:textId="77777777" w:rsidR="00A47548" w:rsidRPr="00A71965" w:rsidRDefault="00A47548" w:rsidP="00A47548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lastRenderedPageBreak/>
        <w:t>EMPRESA</w:t>
      </w:r>
      <w:r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A47548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9BE"/>
    <w:rsid w:val="00910DA5"/>
    <w:rsid w:val="00A469BE"/>
    <w:rsid w:val="00A47548"/>
    <w:rsid w:val="00B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8E10"/>
  <w15:docId w15:val="{03D561E5-1833-4146-A7E0-8314E742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46B8-1407-4CAF-9952-9D966B43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Licitações</cp:lastModifiedBy>
  <cp:revision>3</cp:revision>
  <dcterms:created xsi:type="dcterms:W3CDTF">2024-09-16T13:31:00Z</dcterms:created>
  <dcterms:modified xsi:type="dcterms:W3CDTF">2024-09-16T13:47:00Z</dcterms:modified>
</cp:coreProperties>
</file>