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lang w:val="pt-BR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  <w:lang w:val="pt-BR"/>
        </w:rPr>
        <w:t>ANEXO III</w:t>
      </w:r>
    </w:p>
    <w:p>
      <w:pPr>
        <w:pStyle w:val="Normal"/>
        <w:spacing w:lineRule="auto" w:line="360"/>
        <w:jc w:val="center"/>
        <w:rPr>
          <w:lang w:val="pt-BR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  <w:lang w:val="pt-BR"/>
        </w:rPr>
        <w:t>CRITÉRIOS UTILIZADOS NA AVALIAÇÃO DE MÉRITO CULTURAL</w:t>
      </w:r>
    </w:p>
    <w:p>
      <w:pPr>
        <w:pStyle w:val="Normal"/>
        <w:spacing w:lineRule="auto" w:line="360"/>
        <w:ind w:left="120" w:right="120"/>
        <w:jc w:val="both"/>
        <w:rPr>
          <w:lang w:val="pt-BR"/>
        </w:rPr>
      </w:pPr>
      <w:r>
        <w:rPr>
          <w:lang w:val="pt-BR"/>
        </w:rPr>
      </w:r>
    </w:p>
    <w:p>
      <w:pPr>
        <w:pStyle w:val="Textojustificado"/>
        <w:spacing w:lineRule="auto" w:line="360" w:beforeAutospacing="0" w:before="0" w:afterAutospacing="0" w:after="0"/>
        <w:ind w:right="120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A comissão de seleção atribuirá notas de 0 a 10 pontos a cada um dos critérios de avaliação de cada projeto, conforme tabela a seguir:</w:t>
      </w:r>
    </w:p>
    <w:p>
      <w:pPr>
        <w:pStyle w:val="Textojustificado"/>
        <w:spacing w:lineRule="auto" w:line="360" w:beforeAutospacing="0" w:before="0" w:afterAutospacing="0" w:after="0"/>
        <w:ind w:right="120"/>
        <w:jc w:val="both"/>
        <w:rPr>
          <w:lang w:val="pt-BR"/>
        </w:rPr>
      </w:pPr>
      <w:r>
        <w:rPr>
          <w:lang w:val="pt-BR"/>
        </w:rPr>
      </w:r>
    </w:p>
    <w:tbl>
      <w:tblPr>
        <w:tblW w:w="9668" w:type="dxa"/>
        <w:jc w:val="left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784"/>
        <w:gridCol w:w="6363"/>
        <w:gridCol w:w="1521"/>
      </w:tblGrid>
      <w:tr>
        <w:trPr/>
        <w:tc>
          <w:tcPr>
            <w:tcW w:w="966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CRITÉRIOS OBRIGATÓRIOS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Identificação do Critério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Descrição do Critério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Pontuação Máxima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A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 xml:space="preserve">Qualidade do Projeto – Coerência do objeto, objetivos, justificativa e metas do projeto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A análise deverá considerar, para fins de avaliação e valoração, se o conteúdo do projeto apresenta, como um todo, coerência, observando o objeto, a justificativa e as metas, sendo possível visualizar de forma clara os resultados que serão obtidos.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B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Relevância da ação proposta para o cenário cultural do município de Nova Esperança do Sul/RS</w:t>
            </w:r>
            <w:r>
              <w:rPr>
                <w:rFonts w:cs="Arial" w:ascii="Arial" w:hAnsi="Arial"/>
                <w:b/>
                <w:bCs/>
                <w:sz w:val="22"/>
                <w:szCs w:val="22"/>
                <w:lang w:val="pt-BR"/>
              </w:rPr>
              <w:t xml:space="preserve">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 xml:space="preserve">A análise deverá considerar, para fins de avaliação e valoração, se a ação contribui para o enriquecimento e valorização da cultura do </w:t>
            </w:r>
            <w:r>
              <w:rPr>
                <w:rFonts w:cs="Arial" w:ascii="Arial" w:hAnsi="Arial"/>
                <w:sz w:val="22"/>
                <w:szCs w:val="22"/>
                <w:lang w:val="pt-BR"/>
              </w:rPr>
              <w:t>município de Nova Esperança do Sul/RS.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C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 xml:space="preserve">Aspectos de integração comunitária na ação proposta pelo projeto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considera-se, para fins de avaliação e valoração, se o projeto apresenta aspectos de integração comunitária, em relação ao impacto social para a inclusão de pessoas com deficiência, idosos e demais grupos em situação de histórica vulnerabilidade econômica/social.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D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 xml:space="preserve">Coerência da planilha orçamentária e do cronograma de execução às metas, resultados e desdobramentos do projeto proposto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A análise deverá avaliar e valorar a viabilidade técnica do projeto sob o ponto de vista dos gastos previstos na planilha orçamentária, sua execução e a adequação ao objeto, metas e objetivos previstos. Também deverá ser considerada para fins de avaliação a coerência e conformidade dos valores e quantidades dos itens relacionados na planilha orçamentária do projeto.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E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 xml:space="preserve">Coerência do Plano de Divulgação ao Cronograma, Objetivos e Metas do projeto proposto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A análise deverá avaliar e valorar a viabilidade técnica e comunicacional com o público-alvo do projeto, mediante as estratégias, mídias e materiais apresentados, bem como a capacidade de executá-los.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F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 xml:space="preserve">Trajetória artística e cultural do proponente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Será́ considerado para fins de análise a carreira do proponente, com base no currículo e comprovações enviadas acompanhado da proposta.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G</w:t>
            </w:r>
          </w:p>
        </w:tc>
        <w:tc>
          <w:tcPr>
            <w:tcW w:w="6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 xml:space="preserve">Contrapartida –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Será avaliado o interesse público da execução da contrapartida proposta pelo agente cultural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10</w:t>
            </w:r>
          </w:p>
        </w:tc>
      </w:tr>
      <w:tr>
        <w:trPr/>
        <w:tc>
          <w:tcPr>
            <w:tcW w:w="81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pt-BR"/>
              </w:rPr>
              <w:t>PONTUAÇÃO TOTAL:</w:t>
            </w:r>
          </w:p>
        </w:tc>
        <w:tc>
          <w:tcPr>
            <w:tcW w:w="1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pt-BR"/>
              </w:rPr>
              <w:t>70</w:t>
            </w:r>
          </w:p>
        </w:tc>
      </w:tr>
    </w:tbl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A pontuação final de cada candidatura será, por média das notas atribuídas.</w:t>
      </w:r>
    </w:p>
    <w:p>
      <w:pPr>
        <w:pStyle w:val="ListParagraph"/>
        <w:numPr>
          <w:ilvl w:val="0"/>
          <w:numId w:val="1"/>
        </w:numPr>
        <w:ind w:hanging="0" w:left="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Os critérios gerais são eliminatórios, de modo que, o agente cultural que receber pontuação 0 em algum dos critérios será desclassificado do Edital.</w:t>
      </w:r>
    </w:p>
    <w:p>
      <w:pPr>
        <w:pStyle w:val="ListParagraph"/>
        <w:numPr>
          <w:ilvl w:val="0"/>
          <w:numId w:val="1"/>
        </w:numPr>
        <w:ind w:hanging="0" w:left="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Em caso de empate, serão utilizados para fins de classificação dos projetos a maior nota nos critérios de acordo com a ordem abaixo definida: A, B, C, D, E, F, G, respectivamente.</w:t>
      </w:r>
    </w:p>
    <w:p>
      <w:pPr>
        <w:pStyle w:val="ListParagraph"/>
        <w:numPr>
          <w:ilvl w:val="0"/>
          <w:numId w:val="1"/>
        </w:numPr>
        <w:ind w:hanging="0" w:left="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Serão considerados aptos os projetos que receberem nota final igual ou superior a 35 pontos.</w:t>
      </w:r>
    </w:p>
    <w:p>
      <w:pPr>
        <w:pStyle w:val="Normal"/>
        <w:spacing w:lineRule="auto" w:line="36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Serão desclassificados os projetos que:</w:t>
      </w:r>
    </w:p>
    <w:p>
      <w:pPr>
        <w:pStyle w:val="Normal"/>
        <w:spacing w:lineRule="auto" w:line="36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I – receberam nota 0 em qualquer dos critérios obrigatórios;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szCs w:val="22"/>
          <w:lang w:val="pt-BR"/>
        </w:rPr>
        <w:t xml:space="preserve">II – apresentem quaisquer formas de preconceito de origem, raça, etnia, gênero, cor, idade ou outras formas de discriminação serão desclassificadas, com fundamento no disposto no </w:t>
      </w:r>
      <w:hyperlink r:id="rId2" w:anchor="art3iv" w:tgtFrame="_blank">
        <w:r>
          <w:rPr>
            <w:rStyle w:val="Hyperlink"/>
            <w:rFonts w:cs="Arial" w:ascii="Arial" w:hAnsi="Arial"/>
            <w:sz w:val="22"/>
            <w:szCs w:val="22"/>
            <w:lang w:val="pt-BR"/>
          </w:rPr>
          <w:t>inciso IV do caput do art. 3º da Constituição,</w:t>
        </w:r>
      </w:hyperlink>
      <w:r>
        <w:rPr>
          <w:rStyle w:val="Hyperlink"/>
          <w:rFonts w:cs="Arial" w:ascii="Arial" w:hAnsi="Arial"/>
          <w:sz w:val="22"/>
          <w:szCs w:val="22"/>
          <w:lang w:val="pt-BR"/>
        </w:rPr>
        <w:t xml:space="preserve"> </w:t>
      </w:r>
      <w:r>
        <w:rPr>
          <w:rFonts w:cs="Arial" w:ascii="Arial" w:hAnsi="Arial"/>
          <w:sz w:val="22"/>
          <w:szCs w:val="22"/>
          <w:lang w:val="pt-BR"/>
        </w:rPr>
        <w:t>garantidos o contraditório e a ampla defesa.</w:t>
      </w:r>
    </w:p>
    <w:p>
      <w:pPr>
        <w:pStyle w:val="ListParagraph"/>
        <w:numPr>
          <w:ilvl w:val="0"/>
          <w:numId w:val="2"/>
        </w:numPr>
        <w:spacing w:lineRule="auto" w:line="360"/>
        <w:ind w:hanging="0" w:left="0"/>
        <w:jc w:val="both"/>
        <w:rPr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A falsidade de informações acarretará desclassificação, podendo ensejar, ainda, a aplicação de sanções administrativas ou criminais.</w:t>
      </w:r>
    </w:p>
    <w:p>
      <w:pPr>
        <w:pStyle w:val="ListParagraph"/>
        <w:spacing w:lineRule="auto" w:line="360"/>
        <w:ind w:hanging="0" w:left="0"/>
        <w:jc w:val="both"/>
        <w:rPr>
          <w:lang w:val="pt-BR"/>
        </w:rPr>
      </w:pPr>
      <w:r>
        <w:rPr>
          <w:lang w:val="pt-BR"/>
        </w:rPr>
      </w:r>
    </w:p>
    <w:p>
      <w:pPr>
        <w:pStyle w:val="ListParagraph"/>
        <w:spacing w:lineRule="auto" w:line="360"/>
        <w:ind w:hanging="0" w:left="0"/>
        <w:jc w:val="right"/>
        <w:rPr>
          <w:rFonts w:ascii="Arial" w:hAnsi="Arial" w:cs="Arial"/>
          <w:sz w:val="22"/>
          <w:szCs w:val="22"/>
          <w:lang w:val="pt-BR"/>
        </w:rPr>
      </w:pPr>
      <w:bookmarkStart w:id="0" w:name="_GoBack"/>
      <w:bookmarkEnd w:id="0"/>
      <w:r>
        <w:rPr>
          <w:rFonts w:cs="Arial" w:ascii="Arial" w:hAnsi="Arial"/>
          <w:sz w:val="22"/>
          <w:szCs w:val="22"/>
          <w:lang w:val="pt-BR"/>
        </w:rPr>
        <w:t>Nova Esperança do Sul, 2</w:t>
      </w:r>
      <w:r>
        <w:rPr>
          <w:rFonts w:cs="Arial" w:ascii="Arial" w:hAnsi="Arial"/>
          <w:sz w:val="22"/>
          <w:szCs w:val="22"/>
          <w:lang w:val="pt-BR"/>
        </w:rPr>
        <w:t>4</w:t>
      </w:r>
      <w:r>
        <w:rPr>
          <w:rFonts w:cs="Arial" w:ascii="Arial" w:hAnsi="Arial"/>
          <w:sz w:val="22"/>
          <w:szCs w:val="22"/>
          <w:lang w:val="pt-BR"/>
        </w:rPr>
        <w:t xml:space="preserve"> de junho de 2024.</w:t>
      </w:r>
    </w:p>
    <w:p>
      <w:pPr>
        <w:pStyle w:val="ListParagraph"/>
        <w:spacing w:lineRule="auto" w:line="360"/>
        <w:ind w:hanging="0" w:left="0"/>
        <w:jc w:val="right"/>
        <w:rPr>
          <w:rFonts w:ascii="Arial" w:hAnsi="Arial" w:cs="Arial"/>
          <w:sz w:val="22"/>
          <w:szCs w:val="22"/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</w:r>
    </w:p>
    <w:p>
      <w:pPr>
        <w:pStyle w:val="ListParagraph"/>
        <w:spacing w:lineRule="auto" w:line="360"/>
        <w:ind w:hanging="0" w:left="0"/>
        <w:jc w:val="center"/>
        <w:rPr>
          <w:rFonts w:ascii="Arial" w:hAnsi="Arial" w:cs="Arial"/>
          <w:sz w:val="22"/>
          <w:szCs w:val="22"/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___________________________</w:t>
        <w:br/>
        <w:t>IVORI ANTONIO GUASSO JUNIOR</w:t>
      </w:r>
    </w:p>
    <w:p>
      <w:pPr>
        <w:pStyle w:val="ListParagraph"/>
        <w:spacing w:lineRule="auto" w:line="360"/>
        <w:ind w:hanging="0" w:left="0"/>
        <w:jc w:val="center"/>
        <w:rPr>
          <w:rFonts w:ascii="Arial" w:hAnsi="Arial" w:cs="Arial"/>
          <w:sz w:val="22"/>
          <w:szCs w:val="22"/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PREFEITO MUNICIPAL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93980</wp:posOffset>
          </wp:positionH>
          <wp:positionV relativeFrom="paragraph">
            <wp:posOffset>-92075</wp:posOffset>
          </wp:positionV>
          <wp:extent cx="3305810" cy="68643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67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05810" cy="68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5915025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41.05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179714065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3465830</wp:posOffset>
          </wp:positionH>
          <wp:positionV relativeFrom="paragraph">
            <wp:posOffset>8683625</wp:posOffset>
          </wp:positionV>
          <wp:extent cx="1343660" cy="574040"/>
          <wp:effectExtent l="0" t="0" r="0" b="0"/>
          <wp:wrapSquare wrapText="largest"/>
          <wp:docPr id="2" name="Figura3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378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574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4867275</wp:posOffset>
          </wp:positionH>
          <wp:positionV relativeFrom="paragraph">
            <wp:posOffset>8570595</wp:posOffset>
          </wp:positionV>
          <wp:extent cx="1306830" cy="915035"/>
          <wp:effectExtent l="0" t="0" r="0" b="0"/>
          <wp:wrapSquare wrapText="largest"/>
          <wp:docPr id="3" name="Figura4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character" w:styleId="Hyperlink">
    <w:name w:val="Hyperlink"/>
    <w:basedOn w:val="DefaultParagraphFont"/>
    <w:uiPriority w:val="99"/>
    <w:unhideWhenUsed/>
    <w:rsid w:val="00047001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justificado" w:customStyle="1">
    <w:name w:val="texto_justificado"/>
    <w:basedOn w:val="Normal"/>
    <w:qFormat/>
    <w:rsid w:val="00047001"/>
    <w:pPr>
      <w:spacing w:beforeAutospacing="1" w:afterAutospacing="1"/>
    </w:pPr>
    <w:rPr>
      <w:szCs w:val="24"/>
    </w:rPr>
  </w:style>
  <w:style w:type="paragraph" w:styleId="Textocentralizado" w:customStyle="1">
    <w:name w:val="texto_centralizado"/>
    <w:basedOn w:val="Normal"/>
    <w:qFormat/>
    <w:rsid w:val="00047001"/>
    <w:pPr>
      <w:spacing w:beforeAutospacing="1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be1e60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lanalto.gov.br/ccivil_03/Constituicao/Constituicao.ht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LibreOffice/7.6.2.1$Windows_X86_64 LibreOffice_project/56f7684011345957bbf33a7ee678afaf4d2ba333</Application>
  <AppVersion>15.0000</AppVersion>
  <Pages>2</Pages>
  <Words>550</Words>
  <Characters>3099</Characters>
  <CharactersWithSpaces>3609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2024-06-24T09:38:38Z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