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wmf" ContentType="image/x-wmf"/>
  <Override PartName="/word/media/image3.png" ContentType="image/png"/>
  <Override PartName="/word/media/image4.png" ContentType="image/png"/>
  <Override PartName="/word/media/image5.png" ContentType="image/png"/>
  <Override PartName="/word/embeddings/oleObject1.bin" ContentType="application/vnd.openxmlformats-officedocument.oleObjec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ascii="Arial" w:hAnsi="Arial" w:eastAsia="Calibri" w:cs="Arial"/>
          <w:b/>
          <w:sz w:val="22"/>
          <w:szCs w:val="22"/>
        </w:rPr>
      </w:pPr>
      <w:r>
        <w:rPr>
          <w:rFonts w:eastAsia="Calibri" w:cs="Arial" w:ascii="Arial" w:hAnsi="Arial"/>
          <w:b/>
          <w:sz w:val="22"/>
          <w:szCs w:val="22"/>
        </w:rPr>
      </w:r>
    </w:p>
    <w:p>
      <w:pPr>
        <w:pStyle w:val="Normal"/>
        <w:spacing w:lineRule="auto" w:line="360"/>
        <w:jc w:val="center"/>
        <w:rPr>
          <w:rFonts w:ascii="Arial" w:hAnsi="Arial" w:eastAsia="Calibri" w:cs="Arial"/>
          <w:b/>
          <w:sz w:val="22"/>
          <w:szCs w:val="22"/>
        </w:rPr>
      </w:pPr>
      <w:r>
        <w:rPr>
          <w:rFonts w:eastAsia="Calibri" w:cs="Arial" w:ascii="Arial" w:hAnsi="Arial"/>
          <w:b/>
          <w:sz w:val="22"/>
          <w:szCs w:val="22"/>
        </w:rPr>
        <w:t>DEMAIS ÁREAS CULTURAIS</w:t>
      </w:r>
    </w:p>
    <w:p>
      <w:pPr>
        <w:pStyle w:val="Normal"/>
        <w:spacing w:lineRule="auto" w:line="360"/>
        <w:jc w:val="center"/>
        <w:rPr>
          <w:rFonts w:ascii="Arial" w:hAnsi="Arial" w:eastAsia="Calibri" w:cs="Arial"/>
          <w:b/>
          <w:sz w:val="22"/>
          <w:szCs w:val="22"/>
        </w:rPr>
      </w:pPr>
      <w:r>
        <w:rPr>
          <w:rFonts w:eastAsia="Calibri" w:cs="Arial" w:ascii="Arial" w:hAnsi="Arial"/>
          <w:b/>
          <w:sz w:val="22"/>
          <w:szCs w:val="22"/>
        </w:rPr>
      </w:r>
    </w:p>
    <w:p>
      <w:pPr>
        <w:pStyle w:val="Normal"/>
        <w:spacing w:lineRule="auto" w:line="360"/>
        <w:jc w:val="center"/>
        <w:rPr>
          <w:rFonts w:ascii="Arial" w:hAnsi="Arial" w:eastAsia="Calibri" w:cs="Arial"/>
          <w:b/>
          <w:sz w:val="22"/>
          <w:szCs w:val="22"/>
        </w:rPr>
      </w:pPr>
      <w:r>
        <w:rPr>
          <w:rFonts w:eastAsia="Calibri" w:cs="Arial" w:ascii="Arial" w:hAnsi="Arial"/>
          <w:b/>
          <w:sz w:val="22"/>
          <w:szCs w:val="22"/>
        </w:rPr>
        <w:t>ANEXO I – DETALHAMENTO DO OBJETO E FINANCIAMENTO</w:t>
      </w:r>
    </w:p>
    <w:p>
      <w:pPr>
        <w:pStyle w:val="Normal"/>
        <w:spacing w:lineRule="auto" w:line="360"/>
        <w:jc w:val="center"/>
        <w:rPr>
          <w:rFonts w:ascii="Arial" w:hAnsi="Arial" w:eastAsia="Calibri" w:cs="Arial"/>
          <w:b/>
          <w:sz w:val="22"/>
          <w:szCs w:val="22"/>
        </w:rPr>
      </w:pPr>
      <w:r>
        <w:rPr>
          <w:rFonts w:eastAsia="Calibri" w:cs="Arial" w:ascii="Arial" w:hAnsi="Arial"/>
          <w:b/>
          <w:sz w:val="22"/>
          <w:szCs w:val="22"/>
        </w:rPr>
        <w:t>CATEGORIAS DE APOIO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1. RECURSOS DO EDITAL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 presente edital possui valor total de R$ 19.259,26 (dezenove mil, duzentos e cinquenta e nove reais com vinte e seis centavos) distribuídos da seguinte forma:</w:t>
      </w:r>
    </w:p>
    <w:p>
      <w:pPr>
        <w:pStyle w:val="Normal"/>
        <w:spacing w:lineRule="auto" w:line="360"/>
        <w:ind w:firstLine="851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>Até R$ 19.259,26 (dezenove mil, duzentos e cinquenta e nove reais com vinte e seis centavos) para projetos livres.</w:t>
      </w:r>
    </w:p>
    <w:p>
      <w:pPr>
        <w:pStyle w:val="Normal"/>
        <w:spacing w:lineRule="auto" w:line="360"/>
        <w:ind w:firstLine="851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spacing w:lineRule="auto" w:line="360"/>
        <w:ind w:firstLine="851"/>
        <w:jc w:val="both"/>
        <w:rPr>
          <w:rFonts w:ascii="Arial" w:hAnsi="Arial" w:eastAsia="Calibri" w:cs="Arial"/>
          <w:b/>
          <w:sz w:val="22"/>
          <w:szCs w:val="22"/>
        </w:rPr>
      </w:pPr>
      <w:r>
        <w:rPr>
          <w:rFonts w:eastAsia="Calibri" w:cs="Arial" w:ascii="Arial" w:hAnsi="Arial"/>
          <w:b/>
          <w:sz w:val="22"/>
          <w:szCs w:val="22"/>
        </w:rPr>
        <w:t>2. DESCRIÇÃO DA CATEGORIA</w:t>
      </w:r>
    </w:p>
    <w:p>
      <w:pPr>
        <w:pStyle w:val="Normal"/>
        <w:spacing w:lineRule="auto" w:line="360"/>
        <w:ind w:firstLine="851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spacing w:lineRule="auto" w:line="360"/>
        <w:ind w:firstLine="851"/>
        <w:jc w:val="both"/>
        <w:rPr>
          <w:rFonts w:ascii="Arial" w:hAnsi="Arial" w:eastAsia="Calibri" w:cs="Arial"/>
          <w:b/>
          <w:sz w:val="22"/>
          <w:szCs w:val="22"/>
        </w:rPr>
      </w:pPr>
      <w:r>
        <w:rPr>
          <w:rFonts w:eastAsia="Calibri" w:cs="Arial" w:ascii="Arial" w:hAnsi="Arial"/>
          <w:b/>
          <w:sz w:val="22"/>
          <w:szCs w:val="22"/>
        </w:rPr>
        <w:t>Projetos livres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Podem concorrer nesta categoria projetos de qualquer linguagem artística/cultural 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2.1.1 Dança</w:t>
      </w:r>
      <w:r>
        <w:rPr>
          <w:rFonts w:cs="Arial" w:ascii="Arial" w:hAnsi="Arial"/>
          <w:sz w:val="22"/>
          <w:szCs w:val="22"/>
        </w:rPr>
        <w:t xml:space="preserve"> – Podem concorrer nesta categoria projetos que demonstrem predominância a área de dança, em qualquer modalidade, a exemplo de: dança contemporânea; danças urbanas; danças populares e tradicionais; dança moderna; dança clássica, entre outras.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 projetos podem ter como objeto: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 – produção de espetáculos de dança;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II – ações de qualificação, formação, tais como realização de oficinas, cursos, ações educativas;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III – realização de eventos, mostras, festas e festivais de dança;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IV – publicações na área da dança ou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V– outro objeto com predominância na área da dança.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2.1.2 Música</w:t>
      </w:r>
      <w:r>
        <w:rPr>
          <w:rFonts w:cs="Arial" w:ascii="Arial" w:hAnsi="Arial"/>
          <w:sz w:val="22"/>
          <w:szCs w:val="22"/>
        </w:rPr>
        <w:t xml:space="preserve"> – Podem concorrer nesta categoria projetos que demonstrem predominância na área de música, canto, coral, música instrumental, formação de bandas, envolvendo a criação, difusão e acesso de uma maneira ampla, incluindo os diversos gêneros musicais e estilos.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 projetos podem ter como objeto: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 – produção de eventos musicais: produção e realização de espetáculos musicais de músicos, bandas, grupos;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II – formação musical: ações de qualificação, formação, tais como realização de oficinas, cursos, ações educativas;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III – gravações de álbuns musicais;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IV – criação de obras musicais;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 – realização de eventos, mostras, festas e festivais musicais; 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VI – publicações na área da música; ou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VII – outro objeto com predominância na área da música.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2.1.3 Teatro</w:t>
      </w:r>
      <w:r>
        <w:rPr>
          <w:rFonts w:cs="Arial" w:ascii="Arial" w:hAnsi="Arial"/>
          <w:sz w:val="22"/>
          <w:szCs w:val="22"/>
        </w:rPr>
        <w:t xml:space="preserve"> – Podem concorrer nesta categoria projetos que demonstrem predominância na área de artes cênicas (teatro), incluindo teatro infantojuvenil, teatro musical, dentre outros. 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 projetos podem ter como objeto: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 – montagem, produção e circulação de espetáculos teatrais;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II – ações de capacitação, formação e qualificação tais como oficinas, cursos, ações educativas;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III – realização de mostras e festivais; 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IV – publicações na área do teatro; ou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 – outro objeto com predominância na área de teatro.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2.1.4 Artes Plásticas e Visuais</w:t>
      </w:r>
      <w:r>
        <w:rPr>
          <w:rFonts w:cs="Arial" w:ascii="Arial" w:hAnsi="Arial"/>
          <w:sz w:val="22"/>
          <w:szCs w:val="22"/>
        </w:rPr>
        <w:t xml:space="preserve"> – Podem concorrer nesta categoria projetos que demonstrem predominância na área de artes plásticas e visuais nas linguagens do desenho, pintura, escultura, gravura, objeto, instalação, intervenção urbana, performance, arte computacional ou outras linguagens do campo da arte contemporânea atual.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 projetos podem ter como objeto: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 – realização de exposição ou feiras de artes;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II – ações de capacitação, formação e qualificação tais como oficinas, cursos, ações educativas;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III – produção de obras de arte;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IV – publicações na área de artes plásticas e visuais; ou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 – outros projetos com predominância na área de artes plásticas e visuais.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2.1.5 Artesanato</w:t>
      </w:r>
      <w:r>
        <w:rPr>
          <w:rFonts w:cs="Arial" w:ascii="Arial" w:hAnsi="Arial"/>
          <w:sz w:val="22"/>
          <w:szCs w:val="22"/>
        </w:rPr>
        <w:t xml:space="preserve"> – Podem concorrer nesta categoria projetos que demonstrem predominância na área de artesanato, que compreende a produção artesanal de objetos, obras e bens.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 projetos podem ter como objeto: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 – realização de feiras, mostras, exposições;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II – produção de peças artesanais;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III – ações de qualificação, formação, tais como realização de oficinas, cursos, ações educativas; 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IV – publicações na área de artesanato; ou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 – outro objeto com predominância na área do artesanato.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2.1.6 Leitura, Escrita e Oralidade</w:t>
      </w:r>
      <w:r>
        <w:rPr>
          <w:rFonts w:cs="Arial" w:ascii="Arial" w:hAnsi="Arial"/>
          <w:sz w:val="22"/>
          <w:szCs w:val="22"/>
        </w:rPr>
        <w:t xml:space="preserve"> – Podem concorrer nesta categoria projetos que demonstrem predominância na área da leitura, escrita e oralidade.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Os projetos podem ter como objeto: 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 – publicação de textos inéditos, em diversos gêneros e/ou formatos;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II – organização de eventos e demais atividades com foco na difusão da literatura, do Livro, da leitura e da oralidade, tais como feiras, mostras, saraus e batalhas de rimas;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III – projetos de formação, como a realização de oficinas, cursos, ações educativas;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IV – apoio à modernização e qualificação de espaços e serviços em bibliotecas comunitárias e pontos de leitura, ampliando o acesso à informação, à leitura e ao livro; 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 – formação e circulação de contadores de histórias, mediador de leitura em bibliotecas, escolas, pontos de leitura ou espaços públicos;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VI – outro objeto com predominância nas áreas de leitura, escrita e oralidade.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2.1.7 Patrimônio Cultural</w:t>
      </w:r>
      <w:r>
        <w:rPr>
          <w:rFonts w:cs="Arial" w:ascii="Arial" w:hAnsi="Arial"/>
          <w:sz w:val="22"/>
          <w:szCs w:val="22"/>
        </w:rPr>
        <w:t xml:space="preserve"> – Podem concorrer nesta categoria projetos que disponham sobre patrimônio cultural material ou imaterial, bens tombados e registrados, imóveis de relevância histórica e arquitetônica, ou as diversas manifestações, celebrações e saberes considerados expressões das tradições culturais que integram a Região. 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 projetos podem ter como objeto: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 – pesquisa, incluindo a elaboração de inventários;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II – publicação de trabalhos já concluídos, que visem à difusão e preservação da memória das várias identidades da região;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III – educação patrimonial, por meio da realização de seminários, fóruns, palestras, minicursos e cursos, aulas, oficinas, simpósios, congressos, encontros, exposições, apresentações culturais, ou quaisquer ações comunitárias que visem à difusão, promoção e preservação da memória das várias identidades que constituem;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IV – exposições, criação de catálogo;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 – elaboração de material educativo; ou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VI – outro objeto relacionado ao patrimônio cultural material ou imaterial.</w:t>
      </w:r>
    </w:p>
    <w:p>
      <w:pPr>
        <w:pStyle w:val="Normal"/>
        <w:spacing w:lineRule="auto" w:line="36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firstLine="851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spacing w:lineRule="auto" w:line="360"/>
        <w:ind w:firstLine="851"/>
        <w:jc w:val="both"/>
        <w:rPr>
          <w:rFonts w:ascii="Arial" w:hAnsi="Arial" w:eastAsia="Calibri" w:cs="Arial"/>
          <w:b/>
          <w:sz w:val="22"/>
          <w:szCs w:val="22"/>
        </w:rPr>
      </w:pPr>
      <w:r>
        <w:rPr>
          <w:rFonts w:eastAsia="Calibri" w:cs="Arial" w:ascii="Arial" w:hAnsi="Arial"/>
          <w:b/>
          <w:sz w:val="22"/>
          <w:szCs w:val="22"/>
        </w:rPr>
        <w:t>3. DISTRIBUIÇÃO DE VAGAS E VALORES</w:t>
      </w:r>
    </w:p>
    <w:p>
      <w:pPr>
        <w:pStyle w:val="Normal"/>
        <w:spacing w:lineRule="auto" w:line="360"/>
        <w:ind w:firstLine="851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tbl>
      <w:tblPr>
        <w:tblW w:w="10207" w:type="dxa"/>
        <w:jc w:val="left"/>
        <w:tblInd w:w="-334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1559"/>
        <w:gridCol w:w="1419"/>
        <w:gridCol w:w="1559"/>
        <w:gridCol w:w="1275"/>
        <w:gridCol w:w="1417"/>
        <w:gridCol w:w="1419"/>
        <w:gridCol w:w="1558"/>
      </w:tblGrid>
      <w:tr>
        <w:trPr/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eastAsia="Calibri" w:cs="Arial"/>
                <w:sz w:val="21"/>
                <w:szCs w:val="21"/>
              </w:rPr>
            </w:pPr>
            <w:r>
              <w:rPr>
                <w:rFonts w:eastAsia="Calibri" w:cs="Arial" w:ascii="Arial" w:hAnsi="Arial"/>
                <w:sz w:val="21"/>
                <w:szCs w:val="21"/>
              </w:rPr>
              <w:t>Categoria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eastAsia="Calibri" w:cs="Arial"/>
                <w:sz w:val="21"/>
                <w:szCs w:val="21"/>
              </w:rPr>
            </w:pPr>
            <w:r>
              <w:rPr>
                <w:rFonts w:eastAsia="Calibri" w:cs="Arial" w:ascii="Arial" w:hAnsi="Arial"/>
                <w:sz w:val="21"/>
                <w:szCs w:val="21"/>
              </w:rPr>
              <w:t>Quantidade de vagas ampla concorrência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eastAsia="Calibri" w:cs="Arial"/>
                <w:sz w:val="21"/>
                <w:szCs w:val="21"/>
              </w:rPr>
            </w:pPr>
            <w:r>
              <w:rPr>
                <w:rFonts w:eastAsia="Calibri" w:cs="Arial" w:ascii="Arial" w:hAnsi="Arial"/>
                <w:sz w:val="21"/>
                <w:szCs w:val="21"/>
              </w:rPr>
              <w:t>Cotas para pessoas negras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ind w:firstLine="42"/>
              <w:jc w:val="center"/>
              <w:rPr>
                <w:rFonts w:ascii="Arial" w:hAnsi="Arial" w:eastAsia="Calibri" w:cs="Arial"/>
                <w:sz w:val="21"/>
                <w:szCs w:val="21"/>
              </w:rPr>
            </w:pPr>
            <w:r>
              <w:rPr>
                <w:rFonts w:eastAsia="Calibri" w:cs="Arial" w:ascii="Arial" w:hAnsi="Arial"/>
                <w:sz w:val="21"/>
                <w:szCs w:val="21"/>
              </w:rPr>
              <w:t>Cotas para pessoas indígenas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spacing w:lineRule="auto" w:line="360"/>
              <w:ind w:firstLine="851"/>
              <w:jc w:val="center"/>
              <w:rPr>
                <w:rFonts w:ascii="Arial" w:hAnsi="Arial" w:eastAsia="Calibri" w:cs="Arial"/>
                <w:sz w:val="21"/>
                <w:szCs w:val="21"/>
              </w:rPr>
            </w:pPr>
            <w:r>
              <w:rPr>
                <w:rFonts w:eastAsia="Calibri" w:cs="Arial" w:ascii="Arial" w:hAnsi="Arial"/>
                <w:sz w:val="21"/>
                <w:szCs w:val="21"/>
              </w:rPr>
            </w:r>
          </w:p>
          <w:p>
            <w:pPr>
              <w:pStyle w:val="Normal"/>
              <w:spacing w:lineRule="auto" w:line="360"/>
              <w:jc w:val="center"/>
              <w:rPr>
                <w:rFonts w:ascii="Arial" w:hAnsi="Arial" w:eastAsia="Calibri" w:cs="Arial"/>
                <w:sz w:val="21"/>
                <w:szCs w:val="21"/>
              </w:rPr>
            </w:pPr>
            <w:r>
              <w:rPr>
                <w:rFonts w:eastAsia="Calibri" w:cs="Arial" w:ascii="Arial" w:hAnsi="Arial"/>
                <w:sz w:val="21"/>
                <w:szCs w:val="21"/>
              </w:rPr>
              <w:t>Quantidade total de vagas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ind w:firstLine="49"/>
              <w:jc w:val="center"/>
              <w:rPr>
                <w:rFonts w:ascii="Arial" w:hAnsi="Arial" w:eastAsia="Calibri" w:cs="Arial"/>
                <w:sz w:val="21"/>
                <w:szCs w:val="21"/>
              </w:rPr>
            </w:pPr>
            <w:r>
              <w:rPr>
                <w:rFonts w:eastAsia="Calibri" w:cs="Arial" w:ascii="Arial" w:hAnsi="Arial"/>
                <w:sz w:val="21"/>
                <w:szCs w:val="21"/>
              </w:rPr>
              <w:t>Valor máximo por projeto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ind w:hanging="32"/>
              <w:jc w:val="center"/>
              <w:rPr>
                <w:rFonts w:ascii="Arial" w:hAnsi="Arial" w:eastAsia="Calibri" w:cs="Arial"/>
                <w:sz w:val="21"/>
                <w:szCs w:val="21"/>
              </w:rPr>
            </w:pPr>
            <w:r>
              <w:rPr>
                <w:rFonts w:eastAsia="Calibri" w:cs="Arial" w:ascii="Arial" w:hAnsi="Arial"/>
                <w:sz w:val="21"/>
                <w:szCs w:val="21"/>
              </w:rPr>
              <w:t>Valor total da categoria</w:t>
            </w:r>
          </w:p>
        </w:tc>
      </w:tr>
      <w:tr>
        <w:trPr/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eastAsia="Calibri" w:cs="Arial"/>
                <w:sz w:val="21"/>
                <w:szCs w:val="21"/>
              </w:rPr>
            </w:pPr>
            <w:r>
              <w:rPr>
                <w:rFonts w:eastAsia="Calibri" w:cs="Arial" w:ascii="Arial" w:hAnsi="Arial"/>
                <w:sz w:val="21"/>
                <w:szCs w:val="21"/>
              </w:rPr>
              <w:t>Projetos livres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ind w:firstLine="2"/>
              <w:jc w:val="center"/>
              <w:rPr>
                <w:rFonts w:ascii="Arial" w:hAnsi="Arial" w:eastAsia="Calibri" w:cs="Arial"/>
                <w:sz w:val="21"/>
                <w:szCs w:val="21"/>
              </w:rPr>
            </w:pPr>
            <w:r>
              <w:rPr>
                <w:rFonts w:eastAsia="Calibri" w:cs="Arial" w:ascii="Arial" w:hAnsi="Arial"/>
                <w:sz w:val="21"/>
                <w:szCs w:val="21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eastAsia="Calibri" w:cs="Arial"/>
                <w:sz w:val="21"/>
                <w:szCs w:val="21"/>
              </w:rPr>
            </w:pPr>
            <w:r>
              <w:rPr>
                <w:rFonts w:eastAsia="Calibri" w:cs="Arial" w:ascii="Arial" w:hAnsi="Arial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ind w:firstLine="2"/>
              <w:jc w:val="center"/>
              <w:rPr>
                <w:rFonts w:ascii="Arial" w:hAnsi="Arial" w:eastAsia="Calibri" w:cs="Arial"/>
                <w:sz w:val="21"/>
                <w:szCs w:val="21"/>
              </w:rPr>
            </w:pPr>
            <w:r>
              <w:rPr>
                <w:rFonts w:eastAsia="Calibri" w:cs="Arial" w:ascii="Arial" w:hAnsi="Arial"/>
                <w:sz w:val="21"/>
                <w:szCs w:val="21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jc w:val="center"/>
              <w:rPr>
                <w:rFonts w:ascii="Arial" w:hAnsi="Arial" w:eastAsia="Calibri" w:cs="Arial"/>
                <w:sz w:val="21"/>
                <w:szCs w:val="21"/>
              </w:rPr>
            </w:pPr>
            <w:r>
              <w:rPr>
                <w:rFonts w:eastAsia="Calibri" w:cs="Arial" w:ascii="Arial" w:hAnsi="Arial"/>
                <w:sz w:val="21"/>
                <w:szCs w:val="21"/>
              </w:rPr>
              <w:t>4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ind w:firstLine="9"/>
              <w:jc w:val="center"/>
              <w:rPr>
                <w:rFonts w:ascii="Arial" w:hAnsi="Arial" w:eastAsia="Calibri" w:cs="Arial"/>
                <w:sz w:val="21"/>
                <w:szCs w:val="21"/>
              </w:rPr>
            </w:pPr>
            <w:r>
              <w:rPr>
                <w:rFonts w:eastAsia="Calibri" w:cs="Arial" w:ascii="Arial" w:hAnsi="Arial"/>
                <w:sz w:val="21"/>
                <w:szCs w:val="21"/>
              </w:rPr>
              <w:t>R$ 4.814,81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eastAsia="Calibri" w:cs="Arial"/>
                <w:sz w:val="21"/>
                <w:szCs w:val="21"/>
              </w:rPr>
            </w:pPr>
            <w:r>
              <w:rPr>
                <w:rFonts w:eastAsia="Calibri" w:cs="Arial" w:ascii="Arial" w:hAnsi="Arial"/>
                <w:sz w:val="21"/>
                <w:szCs w:val="21"/>
              </w:rPr>
              <w:t>R$ 19.259,26</w:t>
            </w:r>
          </w:p>
        </w:tc>
      </w:tr>
    </w:tbl>
    <w:p>
      <w:pPr>
        <w:pStyle w:val="Normal"/>
        <w:spacing w:lineRule="auto" w:line="360"/>
        <w:ind w:right="-1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spacing w:lineRule="auto" w:line="360"/>
        <w:ind w:right="-1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spacing w:lineRule="auto" w:line="360"/>
        <w:ind w:right="-1"/>
        <w:jc w:val="right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>Nova Esperança do Sul, 2</w:t>
      </w:r>
      <w:r>
        <w:rPr>
          <w:rFonts w:eastAsia="Calibri" w:cs="Arial" w:ascii="Arial" w:hAnsi="Arial"/>
          <w:sz w:val="22"/>
          <w:szCs w:val="22"/>
        </w:rPr>
        <w:t>4</w:t>
      </w:r>
      <w:r>
        <w:rPr>
          <w:rFonts w:eastAsia="Calibri" w:cs="Arial" w:ascii="Arial" w:hAnsi="Arial"/>
          <w:sz w:val="22"/>
          <w:szCs w:val="22"/>
        </w:rPr>
        <w:t xml:space="preserve"> de junho de 2024.</w:t>
      </w:r>
    </w:p>
    <w:p>
      <w:pPr>
        <w:pStyle w:val="Normal"/>
        <w:spacing w:lineRule="auto" w:line="360"/>
        <w:ind w:right="-1"/>
        <w:jc w:val="center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spacing w:lineRule="auto" w:line="360"/>
        <w:ind w:right="-1"/>
        <w:jc w:val="center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spacing w:lineRule="auto" w:line="360"/>
        <w:ind w:right="-1"/>
        <w:jc w:val="center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spacing w:lineRule="auto" w:line="360"/>
        <w:ind w:right="-1"/>
        <w:jc w:val="center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spacing w:lineRule="auto" w:line="360"/>
        <w:ind w:right="-1"/>
        <w:jc w:val="center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>______________________________</w:t>
        <w:br/>
        <w:t>IVORI ANTONIO GUASSO JUNIOR</w:t>
      </w:r>
    </w:p>
    <w:p>
      <w:pPr>
        <w:pStyle w:val="Normal"/>
        <w:spacing w:lineRule="auto" w:line="360"/>
        <w:ind w:right="-1"/>
        <w:jc w:val="center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>PREFEITO MUNICIPAL</w:t>
      </w:r>
    </w:p>
    <w:p>
      <w:pPr>
        <w:pStyle w:val="Normal"/>
        <w:jc w:val="cen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709" w:top="1418" w:footer="1418" w:bottom="19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">
    <w:altName w:val="Times New Roman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13">
          <wp:simplePos x="0" y="0"/>
          <wp:positionH relativeFrom="column">
            <wp:posOffset>2540</wp:posOffset>
          </wp:positionH>
          <wp:positionV relativeFrom="paragraph">
            <wp:posOffset>-6350</wp:posOffset>
          </wp:positionV>
          <wp:extent cx="3397250" cy="705485"/>
          <wp:effectExtent l="0" t="0" r="0" b="0"/>
          <wp:wrapSquare wrapText="largest"/>
          <wp:docPr id="3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199" t="37067" r="3819" b="30051"/>
                  <a:stretch>
                    <a:fillRect/>
                  </a:stretch>
                </pic:blipFill>
                <pic:spPr bwMode="auto">
                  <a:xfrm>
                    <a:off x="0" y="0"/>
                    <a:ext cx="3397250" cy="705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7">
          <wp:simplePos x="0" y="0"/>
          <wp:positionH relativeFrom="column">
            <wp:posOffset>3465830</wp:posOffset>
          </wp:positionH>
          <wp:positionV relativeFrom="paragraph">
            <wp:posOffset>54610</wp:posOffset>
          </wp:positionV>
          <wp:extent cx="1343660" cy="574040"/>
          <wp:effectExtent l="0" t="0" r="0" b="0"/>
          <wp:wrapSquare wrapText="largest"/>
          <wp:docPr id="4" name="Figura3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3 Copia 1 Copia 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12094" t="33378" r="11981" b="34145"/>
                  <a:stretch>
                    <a:fillRect/>
                  </a:stretch>
                </pic:blipFill>
                <pic:spPr bwMode="auto">
                  <a:xfrm>
                    <a:off x="0" y="0"/>
                    <a:ext cx="1343660" cy="574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bidi w:val="0"/>
      <w:spacing w:lineRule="auto" w:line="240" w:before="0" w:after="0"/>
      <w:ind w:hanging="0" w:left="1134" w:right="0"/>
      <w:jc w:val="center"/>
      <w:rPr/>
    </w:pPr>
    <w:r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5915025</wp:posOffset>
          </wp:positionH>
          <wp:positionV relativeFrom="paragraph">
            <wp:posOffset>-144780</wp:posOffset>
          </wp:positionV>
          <wp:extent cx="647700" cy="718185"/>
          <wp:effectExtent l="0" t="0" r="0" b="0"/>
          <wp:wrapSquare wrapText="largest"/>
          <wp:docPr id="1" name="Figura1 Copia 1 Copia 1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 Copia 1 Copia 1 Copia 1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2941" t="21688" r="33752" b="16255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18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object w:dxaOrig="3630" w:dyaOrig="4740">
        <v:shapetype id="_x0000_tole_rId2" coordsize="21600,21600" o:spt="ole_rId2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2" type="_x0000_tole_rId2" style="position:absolute;margin-left:41.05pt;margin-top:-15.65pt;width:41.4pt;height:56.05pt;mso-wrap-distance-left:9.05pt;mso-wrap-distance-right:9.05pt;mso-position-horizontal-relative:text;mso-position-vertical-relative:text" filled="t" fillcolor="#FFFFFF" o:ole="">
          <v:imagedata r:id="rId3" o:title=""/>
          <w10:wrap type="square" side="right"/>
        </v:shape>
        <o:OLEObject Type="Embed" ProgID="" ShapeID="ole_rId2" DrawAspect="Content" ObjectID="_1962401326" r:id="rId2"/>
      </w:object>
    </w:r>
    <w:r>
      <w:rPr>
        <w:rFonts w:eastAsia="Batang;바탕" w:cs="Batang;바탕" w:ascii="Arial" w:hAnsi="Arial"/>
        <w:b/>
        <w:bCs w:val="false"/>
        <w:color w:val="000000"/>
        <w:sz w:val="20"/>
        <w:szCs w:val="20"/>
      </w:rPr>
      <w:t>ESTADO DO RIO GRANDE DO SUL</w:t>
    </w:r>
  </w:p>
  <w:p>
    <w:pPr>
      <w:pStyle w:val="Header"/>
      <w:widowControl/>
      <w:bidi w:val="0"/>
      <w:spacing w:lineRule="auto" w:line="240" w:before="0" w:after="0"/>
      <w:ind w:hanging="0" w:left="1134" w:right="0"/>
      <w:jc w:val="center"/>
      <w:rPr/>
    </w:pPr>
    <w:r>
      <w:rPr>
        <w:rFonts w:cs="Batang;바탕" w:ascii="Arial" w:hAnsi="Arial"/>
        <w:b/>
        <w:bCs w:val="false"/>
        <w:color w:val="000000"/>
        <w:sz w:val="20"/>
        <w:szCs w:val="20"/>
      </w:rPr>
      <w:t>PREFEITURA MUNICIPAL DE NOVA ESPERANÇA DO SUL</w:t>
    </w:r>
  </w:p>
  <w:p>
    <w:pPr>
      <w:pStyle w:val="Header"/>
      <w:widowControl/>
      <w:bidi w:val="0"/>
      <w:spacing w:lineRule="auto" w:line="240" w:before="0" w:after="0"/>
      <w:ind w:hanging="0" w:left="1134" w:right="0"/>
      <w:jc w:val="center"/>
      <w:rPr/>
    </w:pPr>
    <w:r>
      <w:rPr>
        <w:rFonts w:cs="Batang;바탕" w:ascii="Arial" w:hAnsi="Arial"/>
        <w:b/>
        <w:bCs w:val="false"/>
        <w:color w:val="000000"/>
        <w:sz w:val="20"/>
        <w:szCs w:val="20"/>
      </w:rPr>
      <w:t>SECRETARIA DE EDUCAÇÃO E CULTURA</w:t>
    </w:r>
  </w:p>
  <w:p>
    <w:pPr>
      <w:pStyle w:val="Header"/>
      <w:widowControl/>
      <w:bidi w:val="0"/>
      <w:spacing w:lineRule="auto" w:line="240" w:before="0" w:after="0"/>
      <w:ind w:hanging="0" w:left="1134" w:right="0"/>
      <w:jc w:val="center"/>
      <w:rPr/>
    </w:pPr>
    <w:r>
      <w:drawing>
        <wp:anchor behindDoc="1" distT="0" distB="0" distL="0" distR="0" simplePos="0" locked="0" layoutInCell="0" allowOverlap="1" relativeHeight="9">
          <wp:simplePos x="0" y="0"/>
          <wp:positionH relativeFrom="column">
            <wp:posOffset>4867275</wp:posOffset>
          </wp:positionH>
          <wp:positionV relativeFrom="paragraph">
            <wp:posOffset>8599170</wp:posOffset>
          </wp:positionV>
          <wp:extent cx="1306830" cy="915035"/>
          <wp:effectExtent l="0" t="0" r="0" b="0"/>
          <wp:wrapSquare wrapText="largest"/>
          <wp:docPr id="2" name="Figura4 Copia 1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4 Copia 1 Copia 1 Copia 1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0" t="16742" r="-1641" b="16581"/>
                  <a:stretch>
                    <a:fillRect/>
                  </a:stretch>
                </pic:blipFill>
                <pic:spPr bwMode="auto">
                  <a:xfrm>
                    <a:off x="0" y="0"/>
                    <a:ext cx="1306830" cy="915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Batang;바탕" w:ascii="Arial" w:hAnsi="Arial"/>
        <w:b/>
        <w:bCs w:val="false"/>
        <w:color w:val="FF4000"/>
        <w:sz w:val="20"/>
        <w:szCs w:val="20"/>
      </w:rPr>
      <w:t>__________________________________________________________________</w:t>
    </w:r>
  </w:p>
</w:hdr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uiPriority="22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24ff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pt-BR" w:eastAsia="pt-BR" w:bidi="ar-SA"/>
    </w:rPr>
  </w:style>
  <w:style w:type="paragraph" w:styleId="Heading3">
    <w:name w:val="Heading 3"/>
    <w:basedOn w:val="Normal"/>
    <w:next w:val="Normal"/>
    <w:qFormat/>
    <w:rsid w:val="00ea07d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Ttulo6Char"/>
    <w:qFormat/>
    <w:rsid w:val="00ea07d7"/>
    <w:pPr>
      <w:spacing w:before="240" w:after="60"/>
      <w:outlineLvl w:val="5"/>
    </w:pPr>
    <w:rPr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Char" w:customStyle="1">
    <w:name w:val="Título Char"/>
    <w:qFormat/>
    <w:rsid w:val="00224ff9"/>
    <w:rPr>
      <w:b/>
      <w:sz w:val="32"/>
      <w:lang w:val="pt-BR" w:eastAsia="pt-BR" w:bidi="ar-SA"/>
    </w:rPr>
  </w:style>
  <w:style w:type="character" w:styleId="Strong">
    <w:name w:val="Strong"/>
    <w:uiPriority w:val="22"/>
    <w:qFormat/>
    <w:rsid w:val="00ac4b54"/>
    <w:rPr>
      <w:b/>
      <w:bCs/>
    </w:rPr>
  </w:style>
  <w:style w:type="character" w:styleId="TextodebaloChar" w:customStyle="1">
    <w:name w:val="Texto de balão Char"/>
    <w:link w:val="BalloonText"/>
    <w:qFormat/>
    <w:rsid w:val="00da5b91"/>
    <w:rPr>
      <w:rFonts w:ascii="Tahoma" w:hAnsi="Tahoma" w:cs="Tahoma"/>
      <w:sz w:val="16"/>
      <w:szCs w:val="16"/>
    </w:rPr>
  </w:style>
  <w:style w:type="character" w:styleId="Ttulo6Char" w:customStyle="1">
    <w:name w:val="Título 6 Char"/>
    <w:qFormat/>
    <w:rsid w:val="00da5b91"/>
    <w:rPr>
      <w:b/>
      <w:bCs/>
      <w:sz w:val="22"/>
      <w:szCs w:val="22"/>
    </w:rPr>
  </w:style>
  <w:style w:type="character" w:styleId="CabealhoChar" w:customStyle="1">
    <w:name w:val="Cabeçalho Char"/>
    <w:uiPriority w:val="99"/>
    <w:qFormat/>
    <w:rsid w:val="007977f9"/>
    <w:rPr>
      <w:sz w:val="24"/>
    </w:rPr>
  </w:style>
  <w:style w:type="character" w:styleId="RodapChar" w:customStyle="1">
    <w:name w:val="Rodapé Char"/>
    <w:qFormat/>
    <w:rsid w:val="007977f9"/>
    <w:rPr>
      <w:sz w:val="24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link w:val="TtuloChar"/>
    <w:qFormat/>
    <w:rsid w:val="00224ff9"/>
    <w:pPr>
      <w:jc w:val="center"/>
    </w:pPr>
    <w:rPr>
      <w:b/>
      <w:sz w:val="32"/>
    </w:rPr>
  </w:style>
  <w:style w:type="paragraph" w:styleId="Caption1">
    <w:name w:val="caption1"/>
    <w:basedOn w:val="Normal"/>
    <w:next w:val="Normal"/>
    <w:qFormat/>
    <w:rsid w:val="00ea07d7"/>
    <w:pPr/>
    <w:rPr>
      <w:rFonts w:ascii="Times" w:hAnsi="Times" w:cs="Times"/>
      <w:szCs w:val="24"/>
    </w:rPr>
  </w:style>
  <w:style w:type="paragraph" w:styleId="BalloonText">
    <w:name w:val="Balloon Text"/>
    <w:basedOn w:val="Normal"/>
    <w:link w:val="TextodebaloChar"/>
    <w:qFormat/>
    <w:rsid w:val="00da5b91"/>
    <w:pPr/>
    <w:rPr>
      <w:rFonts w:ascii="Tahoma" w:hAnsi="Tahoma" w:cs="Tahoma"/>
      <w:sz w:val="16"/>
      <w:szCs w:val="16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rsid w:val="007977f9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rsid w:val="007977f9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Textocentralizado" w:customStyle="1">
    <w:name w:val="texto_centralizado"/>
    <w:basedOn w:val="Normal"/>
    <w:qFormat/>
    <w:rsid w:val="009c161b"/>
    <w:pPr>
      <w:spacing w:beforeAutospacing="1" w:afterAutospacing="1"/>
    </w:pPr>
    <w:rPr>
      <w:szCs w:val="24"/>
    </w:rPr>
  </w:style>
  <w:style w:type="paragraph" w:styleId="ListParagraph">
    <w:name w:val="List Paragraph"/>
    <w:basedOn w:val="Normal"/>
    <w:uiPriority w:val="34"/>
    <w:qFormat/>
    <w:rsid w:val="00b505f0"/>
    <w:pPr>
      <w:spacing w:before="0" w:after="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5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oleObject" Target="embeddings/oleObject1.bin"/><Relationship Id="rId3" Type="http://schemas.openxmlformats.org/officeDocument/2006/relationships/image" Target="media/image2.wmf"/><Relationship Id="rId4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Application>LibreOffice/7.6.2.1$Windows_X86_64 LibreOffice_project/56f7684011345957bbf33a7ee678afaf4d2ba333</Application>
  <AppVersion>15.0000</AppVersion>
  <Pages>4</Pages>
  <Words>859</Words>
  <Characters>5100</Characters>
  <CharactersWithSpaces>5929</CharactersWithSpaces>
  <Paragraphs>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2021-04-26T11:35:00Z</dcterms:created>
  <dc:creator>Alessandra</dc:creator>
  <dc:description/>
  <dc:language>pt-BR</dc:language>
  <cp:lastModifiedBy/>
  <dcterms:modified xsi:type="dcterms:W3CDTF">2024-06-24T09:37:09Z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